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6560" w14:textId="77777777" w:rsidR="00D220F4" w:rsidRDefault="00D220F4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FE2CFAB" w14:textId="77777777" w:rsidR="0079685C" w:rsidRDefault="0079685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E8106A" w14:textId="77777777" w:rsidR="00B21CEE" w:rsidRDefault="00B21CEE" w:rsidP="00B21CEE">
      <w:pPr>
        <w:spacing w:line="240" w:lineRule="auto"/>
        <w:jc w:val="center"/>
        <w:rPr>
          <w:b/>
        </w:rPr>
      </w:pPr>
      <w:r>
        <w:rPr>
          <w:b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14:paraId="71CAA3B9" w14:textId="77777777" w:rsidR="00B21CEE" w:rsidRDefault="00B21CEE" w:rsidP="00B21CEE">
      <w:pPr>
        <w:spacing w:line="240" w:lineRule="auto"/>
        <w:jc w:val="center"/>
        <w:rPr>
          <w:b/>
        </w:rPr>
      </w:pPr>
    </w:p>
    <w:p w14:paraId="05F7DBA8" w14:textId="77777777" w:rsidR="00B21CEE" w:rsidRDefault="00B21CEE" w:rsidP="00B21CEE">
      <w:pPr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14:paraId="7B459E92" w14:textId="055C0145" w:rsidR="0079685C" w:rsidRDefault="00B21CEE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21 декабря 2023 года  № 50</w:t>
      </w:r>
    </w:p>
    <w:p w14:paraId="38E143DF" w14:textId="77777777" w:rsidR="0079685C" w:rsidRDefault="0079685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2389BEF" w14:textId="77777777" w:rsidR="0079685C" w:rsidRDefault="0079685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68E740A" w14:textId="7D8653A3" w:rsidR="00C74D12" w:rsidRDefault="00E83553" w:rsidP="00C74D12">
      <w:pPr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C74D12" w:rsidRPr="005219EC">
        <w:rPr>
          <w:b/>
        </w:rPr>
        <w:t>Администраци</w:t>
      </w:r>
      <w:r w:rsidR="00C74D12">
        <w:rPr>
          <w:b/>
        </w:rPr>
        <w:t>и</w:t>
      </w:r>
      <w:r w:rsidR="00C74D12" w:rsidRPr="005219EC">
        <w:rPr>
          <w:b/>
        </w:rPr>
        <w:t xml:space="preserve"> </w:t>
      </w:r>
      <w:r w:rsidR="00C74D12">
        <w:rPr>
          <w:b/>
        </w:rPr>
        <w:t xml:space="preserve">сельского поселения </w:t>
      </w:r>
      <w:r w:rsidR="00D220F4">
        <w:rPr>
          <w:b/>
        </w:rPr>
        <w:t>Николаевский</w:t>
      </w:r>
      <w:r w:rsidR="00C74D12">
        <w:rPr>
          <w:b/>
        </w:rPr>
        <w:t xml:space="preserve"> сельсовет муниципального района Кармаскалинский район</w:t>
      </w:r>
    </w:p>
    <w:p w14:paraId="02069228" w14:textId="77777777" w:rsidR="00C74D12" w:rsidRDefault="00C74D12" w:rsidP="00C74D12">
      <w:pPr>
        <w:spacing w:after="0" w:line="240" w:lineRule="auto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14:paraId="11B8212E" w14:textId="77777777" w:rsidR="00CD1834" w:rsidRDefault="00CD1834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3EA248A" w14:textId="03996085" w:rsidR="00E83553" w:rsidRDefault="00E83553" w:rsidP="00CD1834">
      <w:pPr>
        <w:spacing w:after="0" w:line="240" w:lineRule="auto"/>
        <w:ind w:firstLine="708"/>
        <w:jc w:val="both"/>
        <w:rPr>
          <w:b/>
        </w:rPr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C74D12">
        <w:t>А</w:t>
      </w:r>
      <w:r w:rsidRPr="00C74D12">
        <w:t xml:space="preserve">дминистрация </w:t>
      </w:r>
      <w:r w:rsidR="00C74D12" w:rsidRPr="00C74D12">
        <w:t xml:space="preserve">сельского поселения </w:t>
      </w:r>
      <w:r w:rsidR="00D220F4">
        <w:t>Николаевский</w:t>
      </w:r>
      <w:r w:rsidR="00C74D12" w:rsidRPr="00C74D12">
        <w:t xml:space="preserve"> сельсовет </w:t>
      </w:r>
      <w:r w:rsidR="00C74D12">
        <w:t>м</w:t>
      </w:r>
      <w:r w:rsidR="00C74D12" w:rsidRPr="00C74D12">
        <w:t>униципального</w:t>
      </w:r>
      <w:r w:rsidR="00C74D12">
        <w:t xml:space="preserve"> </w:t>
      </w:r>
      <w:r w:rsidR="00C74D12" w:rsidRPr="00C74D12">
        <w:t xml:space="preserve"> района Кармаскалинский район</w:t>
      </w:r>
      <w:r w:rsidR="00C74D12">
        <w:t xml:space="preserve"> </w:t>
      </w:r>
      <w:r w:rsidR="00C74D12" w:rsidRPr="00C74D12">
        <w:t xml:space="preserve"> Республики Башкортостан</w:t>
      </w:r>
      <w:r w:rsidR="00CD1834">
        <w:t xml:space="preserve"> </w:t>
      </w:r>
      <w:r w:rsidRPr="00C74D12">
        <w:rPr>
          <w:b/>
        </w:rPr>
        <w:t>ПОСТАНОВЛЯЕТ:</w:t>
      </w:r>
      <w:proofErr w:type="gramEnd"/>
    </w:p>
    <w:p w14:paraId="285A89DD" w14:textId="77777777" w:rsidR="0083230D" w:rsidRPr="005219EC" w:rsidRDefault="0083230D" w:rsidP="008323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Pr="005219EC">
        <w:rPr>
          <w:bCs/>
        </w:rPr>
        <w:t>Присвоение</w:t>
      </w:r>
      <w:r>
        <w:rPr>
          <w:bCs/>
        </w:rPr>
        <w:t xml:space="preserve"> и аннулирование адресов</w:t>
      </w:r>
      <w:r w:rsidRPr="005219EC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Pr="00BA4B9B">
        <w:rPr>
          <w:bCs/>
        </w:rPr>
        <w:t xml:space="preserve">сельском поселении </w:t>
      </w:r>
      <w:r>
        <w:rPr>
          <w:rFonts w:eastAsia="Calibri"/>
          <w:lang w:eastAsia="ru-RU"/>
        </w:rPr>
        <w:t>Николаевский сельсовет</w:t>
      </w:r>
      <w:r w:rsidRPr="00BA4B9B">
        <w:rPr>
          <w:rFonts w:eastAsia="Calibri"/>
          <w:lang w:eastAsia="ru-RU"/>
        </w:rPr>
        <w:t xml:space="preserve"> муниципального района Кармаскалинский район Республики Башкортостан.</w:t>
      </w:r>
    </w:p>
    <w:p w14:paraId="34679BC8" w14:textId="5A8EBDE6" w:rsidR="0083230D" w:rsidRDefault="0083230D" w:rsidP="0083230D">
      <w:pPr>
        <w:spacing w:after="0" w:line="240" w:lineRule="auto"/>
        <w:jc w:val="both"/>
      </w:pPr>
      <w:r>
        <w:t xml:space="preserve">         </w:t>
      </w:r>
      <w:r w:rsidRPr="005219EC">
        <w:t xml:space="preserve">2. </w:t>
      </w:r>
      <w:r w:rsidRPr="00501879">
        <w:t>Со дня вступления в силу настоящего постановления считать утр</w:t>
      </w:r>
      <w:r w:rsidR="00CD1834">
        <w:t>атившим силу постановление от 26</w:t>
      </w:r>
      <w:r>
        <w:t xml:space="preserve"> </w:t>
      </w:r>
      <w:r w:rsidR="00CD1834">
        <w:t>июля</w:t>
      </w:r>
      <w:r w:rsidRPr="00E551E9">
        <w:rPr>
          <w:color w:val="FF0000"/>
        </w:rPr>
        <w:t xml:space="preserve"> </w:t>
      </w:r>
      <w:r w:rsidRPr="00520FCE">
        <w:rPr>
          <w:color w:val="000000" w:themeColor="text1"/>
        </w:rPr>
        <w:t>20</w:t>
      </w:r>
      <w:r w:rsidR="00CD1834">
        <w:rPr>
          <w:color w:val="000000" w:themeColor="text1"/>
        </w:rPr>
        <w:t>21</w:t>
      </w:r>
      <w:r w:rsidRPr="00520FCE">
        <w:rPr>
          <w:color w:val="000000" w:themeColor="text1"/>
        </w:rPr>
        <w:t xml:space="preserve"> года № </w:t>
      </w:r>
      <w:r w:rsidR="00CD1834">
        <w:rPr>
          <w:color w:val="000000" w:themeColor="text1"/>
        </w:rPr>
        <w:t>22</w:t>
      </w:r>
      <w:r w:rsidRPr="00520FCE">
        <w:rPr>
          <w:color w:val="000000" w:themeColor="text1"/>
        </w:rPr>
        <w:t xml:space="preserve">  </w:t>
      </w:r>
      <w:r w:rsidRPr="00BA4B9B">
        <w:t>«</w:t>
      </w:r>
      <w:r w:rsidRPr="00BA4B9B">
        <w:rPr>
          <w:rFonts w:eastAsia="Calibri"/>
          <w:lang w:eastAsia="ru-RU"/>
        </w:rPr>
        <w:t>Об утверждении Административного регламента предоставления муниципальной услуги «</w:t>
      </w:r>
      <w:r w:rsidRPr="00BA4B9B">
        <w:rPr>
          <w:bCs/>
        </w:rPr>
        <w:t>Присвоение и аннулирование адресов</w:t>
      </w:r>
      <w:r w:rsidRPr="00BA4B9B">
        <w:rPr>
          <w:rFonts w:eastAsia="Calibri"/>
          <w:lang w:eastAsia="ru-RU"/>
        </w:rPr>
        <w:t xml:space="preserve">» в </w:t>
      </w:r>
      <w:r w:rsidRPr="00BA4B9B">
        <w:rPr>
          <w:bCs/>
        </w:rPr>
        <w:t>сельско</w:t>
      </w:r>
      <w:r w:rsidR="00CD1834">
        <w:rPr>
          <w:bCs/>
        </w:rPr>
        <w:t>м</w:t>
      </w:r>
      <w:r w:rsidRPr="00BA4B9B">
        <w:rPr>
          <w:bCs/>
        </w:rPr>
        <w:t xml:space="preserve"> поселени</w:t>
      </w:r>
      <w:r w:rsidR="00CD1834">
        <w:rPr>
          <w:bCs/>
        </w:rPr>
        <w:t>и</w:t>
      </w:r>
      <w:r w:rsidRPr="00BA4B9B">
        <w:rPr>
          <w:bCs/>
        </w:rPr>
        <w:t xml:space="preserve"> </w:t>
      </w:r>
      <w:r>
        <w:rPr>
          <w:rFonts w:eastAsia="Calibri"/>
          <w:lang w:eastAsia="ru-RU"/>
        </w:rPr>
        <w:t>Николаевский сельсовет</w:t>
      </w:r>
      <w:r w:rsidRPr="00BA4B9B">
        <w:rPr>
          <w:rFonts w:eastAsia="Calibri"/>
          <w:lang w:eastAsia="ru-RU"/>
        </w:rPr>
        <w:t xml:space="preserve"> муниципального района Кармаскалинский район Республики Башкортостан</w:t>
      </w:r>
      <w:r w:rsidRPr="00501879">
        <w:t>».</w:t>
      </w:r>
    </w:p>
    <w:p w14:paraId="05D01FDA" w14:textId="77777777" w:rsidR="0083230D" w:rsidRPr="005219EC" w:rsidRDefault="0083230D" w:rsidP="008323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>3. Настоящее постановление опубликовать</w:t>
      </w:r>
      <w:r>
        <w:rPr>
          <w:rFonts w:eastAsia="Times New Roman"/>
          <w:lang w:eastAsia="ru-RU"/>
        </w:rPr>
        <w:t xml:space="preserve"> на официальном сайте </w:t>
      </w:r>
      <w:hyperlink r:id="rId9" w:history="1">
        <w:r w:rsidRPr="008D09A0">
          <w:rPr>
            <w:rStyle w:val="a5"/>
          </w:rPr>
          <w:t>http://nikolaevosp.ru</w:t>
        </w:r>
      </w:hyperlink>
      <w:r w:rsidRPr="0050187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администрации сельского поселения Николаевский сельсовет муниципального района Кармаскалинский район и обнародовать на информационном стенде  администрации сельского поселения Николаевский сельсовет муниципального района Кармаскалинский район Республики Башкортостан.</w:t>
      </w:r>
    </w:p>
    <w:p w14:paraId="1C6299A8" w14:textId="77777777" w:rsidR="0083230D" w:rsidRDefault="0083230D" w:rsidP="008323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</w:t>
      </w:r>
      <w:r>
        <w:t>оставляю за собой.</w:t>
      </w:r>
    </w:p>
    <w:p w14:paraId="52078BBD" w14:textId="77777777" w:rsidR="00CD1834" w:rsidRDefault="00CD1834" w:rsidP="008323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3B4CC69" w14:textId="21B1AEC9" w:rsidR="00CD1834" w:rsidRDefault="00CD1834" w:rsidP="0079685C">
      <w:pPr>
        <w:tabs>
          <w:tab w:val="left" w:pos="7425"/>
        </w:tabs>
        <w:spacing w:after="0" w:line="240" w:lineRule="auto"/>
      </w:pPr>
      <w:r w:rsidRPr="00C74D12">
        <w:t xml:space="preserve">Глава сельского поселения    </w:t>
      </w:r>
      <w:r>
        <w:t xml:space="preserve">                            </w:t>
      </w:r>
      <w:r w:rsidR="0079685C">
        <w:t xml:space="preserve">        </w:t>
      </w:r>
      <w:r>
        <w:t xml:space="preserve">              </w:t>
      </w:r>
      <w:proofErr w:type="spellStart"/>
      <w:r>
        <w:t>Р.Р.Култыгина</w:t>
      </w:r>
      <w:proofErr w:type="spellEnd"/>
    </w:p>
    <w:p w14:paraId="35A96A9D" w14:textId="77777777" w:rsidR="00B21CEE" w:rsidRPr="00C74D12" w:rsidRDefault="00B21CEE" w:rsidP="0079685C">
      <w:pPr>
        <w:tabs>
          <w:tab w:val="left" w:pos="7425"/>
        </w:tabs>
        <w:spacing w:after="0" w:line="240" w:lineRule="auto"/>
      </w:pPr>
      <w:bookmarkStart w:id="0" w:name="_GoBack"/>
      <w:bookmarkEnd w:id="0"/>
    </w:p>
    <w:p w14:paraId="491856B4" w14:textId="77777777" w:rsidR="00E83553" w:rsidRPr="00C74D12" w:rsidRDefault="00E83553" w:rsidP="00C74D12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C74D12">
        <w:rPr>
          <w:sz w:val="24"/>
          <w:szCs w:val="24"/>
        </w:rPr>
        <w:lastRenderedPageBreak/>
        <w:t>Утвержден</w:t>
      </w:r>
    </w:p>
    <w:p w14:paraId="45C308A6" w14:textId="77777777" w:rsidR="00E83553" w:rsidRPr="00C74D12" w:rsidRDefault="00E83553" w:rsidP="00C74D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>постановлением Администрации</w:t>
      </w:r>
    </w:p>
    <w:p w14:paraId="1BB2A07B" w14:textId="01C619C2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сельского поселения</w:t>
      </w:r>
    </w:p>
    <w:p w14:paraId="14356BEA" w14:textId="0C6DFC91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</w:t>
      </w:r>
      <w:r w:rsidR="00D220F4">
        <w:rPr>
          <w:sz w:val="24"/>
          <w:szCs w:val="24"/>
        </w:rPr>
        <w:t>Николаевский</w:t>
      </w:r>
      <w:r w:rsidRPr="00C74D12">
        <w:rPr>
          <w:sz w:val="24"/>
          <w:szCs w:val="24"/>
        </w:rPr>
        <w:t xml:space="preserve"> сельсовет </w:t>
      </w:r>
    </w:p>
    <w:p w14:paraId="3633D5B4" w14:textId="77777777" w:rsid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муниципального района </w:t>
      </w:r>
    </w:p>
    <w:p w14:paraId="43CEFF2C" w14:textId="7D9A1A73" w:rsidR="00C74D12" w:rsidRP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>Кармаскалинский район</w:t>
      </w:r>
    </w:p>
    <w:p w14:paraId="77201C8A" w14:textId="77777777" w:rsidR="00C74D12" w:rsidRPr="00C74D12" w:rsidRDefault="00C74D12" w:rsidP="00C74D12">
      <w:pPr>
        <w:spacing w:after="0" w:line="240" w:lineRule="auto"/>
        <w:jc w:val="right"/>
        <w:rPr>
          <w:sz w:val="24"/>
          <w:szCs w:val="24"/>
        </w:rPr>
      </w:pPr>
      <w:r w:rsidRPr="00C74D12">
        <w:rPr>
          <w:sz w:val="24"/>
          <w:szCs w:val="24"/>
        </w:rPr>
        <w:t xml:space="preserve"> Республики Башкортостан</w:t>
      </w:r>
    </w:p>
    <w:p w14:paraId="0D94FF7C" w14:textId="5D2AC1CF" w:rsidR="00E83553" w:rsidRPr="00C74D12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C74D12">
        <w:rPr>
          <w:sz w:val="22"/>
          <w:szCs w:val="22"/>
        </w:rPr>
        <w:t xml:space="preserve">от </w:t>
      </w:r>
      <w:r w:rsidR="005E66D6">
        <w:rPr>
          <w:sz w:val="22"/>
          <w:szCs w:val="22"/>
        </w:rPr>
        <w:t xml:space="preserve">21 декабря </w:t>
      </w:r>
      <w:r w:rsidRPr="00C74D12">
        <w:rPr>
          <w:sz w:val="22"/>
          <w:szCs w:val="22"/>
        </w:rPr>
        <w:t>20</w:t>
      </w:r>
      <w:r w:rsidR="005E66D6">
        <w:rPr>
          <w:sz w:val="22"/>
          <w:szCs w:val="22"/>
        </w:rPr>
        <w:t xml:space="preserve">23 </w:t>
      </w:r>
      <w:r w:rsidRPr="00C74D12">
        <w:rPr>
          <w:sz w:val="22"/>
          <w:szCs w:val="22"/>
        </w:rPr>
        <w:t xml:space="preserve"> года №</w:t>
      </w:r>
      <w:r w:rsidR="005E66D6">
        <w:rPr>
          <w:sz w:val="22"/>
          <w:szCs w:val="22"/>
        </w:rPr>
        <w:t xml:space="preserve"> 50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72320F95" w14:textId="0F1B3BA4" w:rsidR="00030A7D" w:rsidRDefault="005F66C6" w:rsidP="00030A7D">
      <w:pPr>
        <w:spacing w:after="0" w:line="240" w:lineRule="auto"/>
        <w:jc w:val="center"/>
        <w:rPr>
          <w:b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030A7D">
        <w:rPr>
          <w:bCs/>
        </w:rPr>
        <w:t xml:space="preserve"> </w:t>
      </w:r>
      <w:r w:rsidR="00030A7D" w:rsidRPr="005219EC">
        <w:rPr>
          <w:b/>
        </w:rPr>
        <w:t>Администраци</w:t>
      </w:r>
      <w:r w:rsidR="00030A7D">
        <w:rPr>
          <w:b/>
        </w:rPr>
        <w:t>и</w:t>
      </w:r>
      <w:r w:rsidR="00030A7D" w:rsidRPr="005219EC">
        <w:rPr>
          <w:b/>
        </w:rPr>
        <w:t xml:space="preserve"> </w:t>
      </w:r>
      <w:r w:rsidR="00030A7D">
        <w:rPr>
          <w:b/>
        </w:rPr>
        <w:t xml:space="preserve">сельского поселения </w:t>
      </w:r>
      <w:r w:rsidR="00D220F4">
        <w:rPr>
          <w:b/>
        </w:rPr>
        <w:t>Николаевский</w:t>
      </w:r>
      <w:r w:rsidR="00030A7D">
        <w:rPr>
          <w:b/>
        </w:rPr>
        <w:t xml:space="preserve"> сельсовет муниципального района Кармаскалинский район</w:t>
      </w:r>
    </w:p>
    <w:p w14:paraId="058CB401" w14:textId="77777777" w:rsidR="00030A7D" w:rsidRDefault="00030A7D" w:rsidP="00030A7D">
      <w:pPr>
        <w:spacing w:after="0" w:line="240" w:lineRule="auto"/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1E0D4403" w14:textId="7D7878B8" w:rsidR="00030A7D" w:rsidRPr="00030A7D" w:rsidRDefault="007753F7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030A7D" w:rsidRPr="00030A7D">
        <w:rPr>
          <w:bCs/>
        </w:rPr>
        <w:t xml:space="preserve"> 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6520993C" w14:textId="190C901B" w:rsidR="007753F7" w:rsidRPr="005219EC" w:rsidRDefault="00826605" w:rsidP="00030A7D">
      <w:pPr>
        <w:widowControl w:val="0"/>
        <w:spacing w:after="0" w:line="240" w:lineRule="auto"/>
        <w:contextualSpacing/>
        <w:jc w:val="both"/>
      </w:pPr>
      <w:r w:rsidRPr="005219EC">
        <w:t>(далее</w:t>
      </w:r>
      <w:r w:rsidR="0048731B">
        <w:t xml:space="preserve"> соответственно</w:t>
      </w:r>
      <w:r w:rsidRPr="005219EC">
        <w:t xml:space="preserve"> – А</w:t>
      </w:r>
      <w:r w:rsidR="007753F7"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="007753F7"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2A745C00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r w:rsidR="00030A7D" w:rsidRPr="0062435D">
        <w:t>числе,</w:t>
      </w:r>
      <w:r w:rsidRPr="0062435D">
        <w:t xml:space="preserve"> строительство которого не завершено;</w:t>
      </w:r>
    </w:p>
    <w:p w14:paraId="6F071AD5" w14:textId="4CFA4324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</w:t>
      </w:r>
      <w:r w:rsidR="00030A7D">
        <w:t>,</w:t>
      </w:r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</w:t>
      </w:r>
      <w:r w:rsidRPr="0008471B"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</w:t>
      </w:r>
      <w:proofErr w:type="gramStart"/>
      <w:r>
        <w:t>ст в сл</w:t>
      </w:r>
      <w:proofErr w:type="gramEnd"/>
      <w:r>
        <w:t>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B1A4981" w14:textId="78E39317" w:rsidR="00030A7D" w:rsidRPr="00030A7D" w:rsidRDefault="00024201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030A7D">
        <w:t xml:space="preserve"> в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78F89A40" w:rsidR="007E725C" w:rsidRDefault="007E725C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непосредственно при личном приеме заявителя в Администрации </w:t>
      </w:r>
      <w:r w:rsidR="00030A7D" w:rsidRPr="00030A7D">
        <w:t xml:space="preserve">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  <w:r w:rsidR="00030A7D">
        <w:t xml:space="preserve"> 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4F6B96BF" w14:textId="390D088A" w:rsidR="00030A7D" w:rsidRPr="00030A7D" w:rsidRDefault="007E725C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на официальном сайте Администрации (Уполномоченного органа) </w:t>
      </w:r>
      <w:r w:rsidR="00030A7D" w:rsidRPr="00030A7D">
        <w:t xml:space="preserve">Администрации сельского поселения </w:t>
      </w:r>
      <w:r w:rsidR="00D220F4">
        <w:t>Николаевский</w:t>
      </w:r>
      <w:r w:rsidR="00030A7D" w:rsidRPr="00030A7D">
        <w:t xml:space="preserve"> сельсовет муниципального района Кармаскалинский район</w:t>
      </w:r>
      <w:r w:rsidR="00030A7D">
        <w:t xml:space="preserve"> </w:t>
      </w:r>
      <w:r w:rsidR="00030A7D" w:rsidRPr="00030A7D">
        <w:t xml:space="preserve"> Республики Башкортостан</w:t>
      </w:r>
    </w:p>
    <w:p w14:paraId="59DFC7D8" w14:textId="2919CC5A" w:rsidR="007E725C" w:rsidRDefault="00030A7D" w:rsidP="00030A7D">
      <w:pPr>
        <w:spacing w:after="0" w:line="240" w:lineRule="auto"/>
        <w:jc w:val="both"/>
      </w:pPr>
      <w:r>
        <w:rPr>
          <w:lang w:val="en-US"/>
        </w:rPr>
        <w:t>https</w:t>
      </w:r>
      <w:r>
        <w:t>:</w:t>
      </w:r>
      <w:r w:rsidRPr="00030A7D">
        <w:t>//</w:t>
      </w:r>
      <w:proofErr w:type="spellStart"/>
      <w:r>
        <w:rPr>
          <w:lang w:val="en-US"/>
        </w:rPr>
        <w:t>starobab</w:t>
      </w:r>
      <w:proofErr w:type="spellEnd"/>
      <w:r w:rsidR="00A22BBF" w:rsidRPr="00A22BBF">
        <w:t>.</w:t>
      </w:r>
      <w:proofErr w:type="spellStart"/>
      <w:r>
        <w:rPr>
          <w:lang w:val="en-US"/>
        </w:rPr>
        <w:t>ru</w:t>
      </w:r>
      <w:proofErr w:type="spellEnd"/>
      <w:r w:rsidR="007E725C">
        <w:t xml:space="preserve">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14CD5DBB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proofErr w:type="gramStart"/>
      <w:r w:rsidR="00030A7D" w:rsidRPr="00030A7D">
        <w:t xml:space="preserve"> </w:t>
      </w:r>
      <w:r w:rsidR="002B0A7C">
        <w:t>(-</w:t>
      </w:r>
      <w:proofErr w:type="spellStart"/>
      <w:proofErr w:type="gramEnd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lastRenderedPageBreak/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59CEED1E" w14:textId="50E40845" w:rsidR="00030A7D" w:rsidRPr="000545C5" w:rsidRDefault="000578E8" w:rsidP="00030A7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545C5">
        <w:rPr>
          <w:rFonts w:eastAsia="Calibri"/>
        </w:rPr>
        <w:t xml:space="preserve">2.2. </w:t>
      </w:r>
      <w:r w:rsidR="00274FEC" w:rsidRPr="000545C5">
        <w:rPr>
          <w:rFonts w:eastAsia="Calibri"/>
        </w:rPr>
        <w:t xml:space="preserve">Муниципальная услуга предоставляется Администрацией </w:t>
      </w:r>
      <w:r w:rsidR="00030A7D" w:rsidRPr="000545C5">
        <w:t xml:space="preserve">сельского поселения </w:t>
      </w:r>
      <w:r w:rsidR="00D220F4">
        <w:t>Николаевский</w:t>
      </w:r>
      <w:r w:rsidR="00030A7D" w:rsidRPr="000545C5">
        <w:t xml:space="preserve"> сельсовет муниципального района Кармаскалинский район  Республики Башкортостан</w:t>
      </w:r>
    </w:p>
    <w:p w14:paraId="726B80CC" w14:textId="77777777" w:rsidR="00030A7D" w:rsidRPr="000545C5" w:rsidRDefault="00030A7D" w:rsidP="00030A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14:paraId="2D5F2473" w14:textId="38079574" w:rsidR="00274FEC" w:rsidRPr="000545C5" w:rsidRDefault="00274FEC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45C5">
        <w:rPr>
          <w:rFonts w:eastAsia="Calibri"/>
        </w:rPr>
        <w:t xml:space="preserve">в лице </w:t>
      </w:r>
      <w:r w:rsidR="000545C5" w:rsidRPr="000545C5">
        <w:rPr>
          <w:rFonts w:eastAsia="Calibri"/>
        </w:rPr>
        <w:t xml:space="preserve">главы сельского поселения </w:t>
      </w:r>
      <w:r w:rsidR="00D220F4">
        <w:rPr>
          <w:rFonts w:eastAsia="Calibri"/>
        </w:rPr>
        <w:t>Николаевский</w:t>
      </w:r>
      <w:r w:rsidR="000545C5" w:rsidRPr="000545C5">
        <w:rPr>
          <w:rFonts w:eastAsia="Calibri"/>
        </w:rPr>
        <w:t xml:space="preserve"> сельсовет муниципального района Кармаскалинский район Республики Башкортостан</w:t>
      </w:r>
      <w:r w:rsidRPr="000545C5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3675AD2" w:rsidR="00793ADA" w:rsidRPr="000545C5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 w:rsidRPr="000545C5">
        <w:t>- оператором</w:t>
      </w:r>
      <w:r w:rsidR="00B93812" w:rsidRPr="000545C5">
        <w:t xml:space="preserve"> федеральной информационной адресной с</w:t>
      </w:r>
      <w:r w:rsidR="00C4104B">
        <w:t xml:space="preserve">истемы </w:t>
      </w:r>
      <w:r w:rsidR="00C4104B">
        <w:br/>
        <w:t>(далее – Оператор ФИАС).</w:t>
      </w:r>
    </w:p>
    <w:p w14:paraId="1755BF87" w14:textId="216880CF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</w:t>
      </w:r>
      <w:proofErr w:type="gramEnd"/>
      <w:r w:rsidR="00E42DC8" w:rsidRPr="005219EC">
        <w:t xml:space="preserve">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>
        <w:lastRenderedPageBreak/>
        <w:t xml:space="preserve">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692AB44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F44A38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51D7A950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F44A38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>
        <w:t>скан-копии</w:t>
      </w:r>
      <w:proofErr w:type="gramEnd"/>
      <w:r w:rsidR="001C4C17">
        <w:t>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593D14" w:rsidRPr="00593D14">
        <w:lastRenderedPageBreak/>
        <w:t>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lastRenderedPageBreak/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</w:t>
      </w:r>
      <w:r w:rsidRPr="00683F8F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 xml:space="preserve">и транспортных средств, перевозящих таких инвалидов и </w:t>
      </w:r>
      <w:r w:rsidRPr="00791DE1">
        <w:rPr>
          <w:rFonts w:eastAsia="Times New Roman"/>
          <w:lang w:eastAsia="ru-RU"/>
        </w:rPr>
        <w:lastRenderedPageBreak/>
        <w:t>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Лицо, ответственное за прием документов, должно иметь настольную </w:t>
      </w:r>
      <w:r w:rsidRPr="005219EC">
        <w:lastRenderedPageBreak/>
        <w:t>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lastRenderedPageBreak/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5219EC">
        <w:lastRenderedPageBreak/>
        <w:t>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, после заполнения заявителем каждого из полей электронной формы запроса. При </w:t>
      </w:r>
      <w:r w:rsidRPr="005219EC"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</w:t>
      </w:r>
      <w:r w:rsidRPr="005219EC"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</w:t>
      </w:r>
      <w:r w:rsidR="00B36EEC" w:rsidRPr="007818A6">
        <w:lastRenderedPageBreak/>
        <w:t xml:space="preserve">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</w:t>
      </w:r>
      <w:r w:rsidR="00AC2305">
        <w:lastRenderedPageBreak/>
        <w:t xml:space="preserve">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155308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155308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</w:t>
      </w:r>
      <w:r w:rsidRPr="00535269">
        <w:lastRenderedPageBreak/>
        <w:t xml:space="preserve">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lastRenderedPageBreak/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</w:t>
      </w:r>
      <w:r w:rsidRPr="00535269">
        <w:lastRenderedPageBreak/>
        <w:t>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 xml:space="preserve">и прилагаемых документов в форме электронного документа и (или) </w:t>
      </w:r>
      <w:r w:rsidRPr="00535269">
        <w:lastRenderedPageBreak/>
        <w:t>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C5A19C9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79C09F7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8370951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26D584A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E1166D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264411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0E0C4D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9FAD4CA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C23C1A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4886871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01B9D54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6F7709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5364DBE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F5131B5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ECFC17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8FEAA0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A28E806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E59F73C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C6E9674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98EE24A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98C1E5B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838C948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8EA1CD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BE21CB8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C74CABD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7926CEF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69D01C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161A05B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51A942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F754AFE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1CAEC7B" w14:textId="77777777" w:rsidR="005E66D6" w:rsidRDefault="005E66D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481B9E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2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05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481B9E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481B9E">
        <w:tc>
          <w:tcPr>
            <w:tcW w:w="15014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481B9E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2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05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3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481B9E">
        <w:tc>
          <w:tcPr>
            <w:tcW w:w="15014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481B9E" w14:paraId="401B37B0" w14:textId="77777777" w:rsidTr="00481B9E">
        <w:tc>
          <w:tcPr>
            <w:tcW w:w="2337" w:type="dxa"/>
            <w:vMerge w:val="restart"/>
          </w:tcPr>
          <w:p w14:paraId="382907A6" w14:textId="77777777" w:rsidR="00481B9E" w:rsidRDefault="00481B9E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57C7F7F9" w14:textId="77777777" w:rsidR="00481B9E" w:rsidRDefault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  <w:p w14:paraId="2D80E18D" w14:textId="77777777" w:rsidR="00481B9E" w:rsidRDefault="00481B9E">
            <w:pPr>
              <w:rPr>
                <w:sz w:val="24"/>
                <w:szCs w:val="24"/>
              </w:rPr>
            </w:pPr>
          </w:p>
          <w:p w14:paraId="19172BE5" w14:textId="582A49C6" w:rsidR="00481B9E" w:rsidRDefault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14:paraId="28FBB9B3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05" w:type="dxa"/>
            <w:vMerge w:val="restart"/>
          </w:tcPr>
          <w:p w14:paraId="5C0FC2C5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  <w:vMerge w:val="restart"/>
          </w:tcPr>
          <w:p w14:paraId="63AFE8FD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2AD17250" w14:textId="5E55E0D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684B8B54" w14:textId="77777777" w:rsidTr="00481B9E">
        <w:tc>
          <w:tcPr>
            <w:tcW w:w="2337" w:type="dxa"/>
            <w:vMerge/>
          </w:tcPr>
          <w:p w14:paraId="0535AA7D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6DA377A" w14:textId="30E59AB3" w:rsidR="00481B9E" w:rsidRPr="000D7B2F" w:rsidRDefault="00481B9E" w:rsidP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формирование и направление межведомственных </w:t>
            </w:r>
            <w:r w:rsidRPr="000D7B2F">
              <w:rPr>
                <w:sz w:val="24"/>
                <w:szCs w:val="24"/>
              </w:rPr>
              <w:lastRenderedPageBreak/>
              <w:t>запросов</w:t>
            </w:r>
          </w:p>
        </w:tc>
        <w:tc>
          <w:tcPr>
            <w:tcW w:w="2328" w:type="dxa"/>
            <w:vMerge/>
          </w:tcPr>
          <w:p w14:paraId="2C8F3AC2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DCDECA3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2FFBD99F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991B87E" w14:textId="77777777" w:rsidR="00481B9E" w:rsidRDefault="00481B9E" w:rsidP="00481B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  <w:r w:rsidRPr="00265E01">
              <w:rPr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2.9. – 2.1</w:t>
            </w:r>
            <w:r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5F8659" w14:textId="77777777" w:rsidR="00481B9E" w:rsidRDefault="00481B9E" w:rsidP="00481B9E">
            <w:pPr>
              <w:rPr>
                <w:sz w:val="24"/>
                <w:szCs w:val="24"/>
              </w:rPr>
            </w:pPr>
          </w:p>
          <w:p w14:paraId="6BD86946" w14:textId="29B1F699" w:rsidR="00481B9E" w:rsidRPr="00265E01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81B9E" w14:paraId="05512F74" w14:textId="77777777" w:rsidTr="00481B9E">
        <w:tc>
          <w:tcPr>
            <w:tcW w:w="2337" w:type="dxa"/>
            <w:vMerge/>
          </w:tcPr>
          <w:p w14:paraId="35E2AEBC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456401B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0BE6358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9A08790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E7D5B08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A1A12D4" w14:textId="5983D84F" w:rsidR="00481B9E" w:rsidRPr="00EF61E6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481B9E" w14:paraId="1DBF1B05" w14:textId="77777777" w:rsidTr="00481B9E">
        <w:tc>
          <w:tcPr>
            <w:tcW w:w="2337" w:type="dxa"/>
            <w:vMerge/>
          </w:tcPr>
          <w:p w14:paraId="632D7635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21CB4B4" w14:textId="7DFF2036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t>осмотр местонахождения объекта адресации (при необходимости)</w:t>
            </w:r>
          </w:p>
        </w:tc>
        <w:tc>
          <w:tcPr>
            <w:tcW w:w="2328" w:type="dxa"/>
            <w:vMerge/>
          </w:tcPr>
          <w:p w14:paraId="024D5B59" w14:textId="77777777" w:rsidR="00481B9E" w:rsidRPr="009165FF" w:rsidRDefault="00481B9E" w:rsidP="00481B9E">
            <w:pPr>
              <w:rPr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05" w:type="dxa"/>
            <w:vMerge/>
          </w:tcPr>
          <w:p w14:paraId="6CB625C5" w14:textId="77777777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33" w:type="dxa"/>
          </w:tcPr>
          <w:p w14:paraId="22D3D881" w14:textId="01145021" w:rsidR="00A517C1" w:rsidRPr="009165FF" w:rsidRDefault="00481B9E" w:rsidP="00A517C1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t>Выявление необходимости осмотра объекта адресации</w:t>
            </w:r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в целях </w:t>
            </w:r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проверки случаев и условий для присвоения объекту адресации адреса или аннулирования его адреса, указанных в </w:t>
            </w:r>
            <w:hyperlink r:id="rId36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пунктах 5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hyperlink r:id="rId37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8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- </w:t>
            </w:r>
            <w:hyperlink r:id="rId38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11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и </w:t>
            </w:r>
            <w:hyperlink r:id="rId39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14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- </w:t>
            </w:r>
            <w:hyperlink r:id="rId40" w:history="1">
              <w:r w:rsidR="00A517C1" w:rsidRPr="00157F7D">
                <w:rPr>
                  <w:color w:val="000000" w:themeColor="text1"/>
                  <w:sz w:val="24"/>
                  <w:szCs w:val="24"/>
                  <w:highlight w:val="yellow"/>
                </w:rPr>
                <w:t>18</w:t>
              </w:r>
            </w:hyperlink>
            <w:r w:rsidR="00A517C1" w:rsidRPr="00157F7D">
              <w:rPr>
                <w:color w:val="000000" w:themeColor="text1"/>
                <w:sz w:val="24"/>
                <w:szCs w:val="24"/>
                <w:highlight w:val="yellow"/>
              </w:rPr>
              <w:t xml:space="preserve"> Правил присвоения, изменения и аннулирования адресов, утвержденных постановлением Правительства РФ от 19.11.2014 № 1221 </w:t>
            </w:r>
          </w:p>
        </w:tc>
        <w:tc>
          <w:tcPr>
            <w:tcW w:w="2896" w:type="dxa"/>
          </w:tcPr>
          <w:p w14:paraId="3425807D" w14:textId="39E6D6AA" w:rsidR="00481B9E" w:rsidRPr="009165FF" w:rsidRDefault="00481B9E" w:rsidP="00481B9E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акт осмотра объекта адресации по форме согласно приложению № 5 к настоящему </w:t>
            </w:r>
            <w:r w:rsidRPr="00157F7D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>административному регламенту</w:t>
            </w:r>
          </w:p>
        </w:tc>
      </w:tr>
      <w:tr w:rsidR="00481B9E" w14:paraId="7470426B" w14:textId="77777777" w:rsidTr="00481B9E">
        <w:tc>
          <w:tcPr>
            <w:tcW w:w="2337" w:type="dxa"/>
            <w:vMerge/>
          </w:tcPr>
          <w:p w14:paraId="6F341F7F" w14:textId="6AEFB2A6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8DDE998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1E246F5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6CF81A4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11AD5D27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13B7BDF5" w:rsidR="00481B9E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81B9E" w14:paraId="4EFDBF94" w14:textId="77777777" w:rsidTr="00481B9E">
        <w:tc>
          <w:tcPr>
            <w:tcW w:w="15014" w:type="dxa"/>
            <w:gridSpan w:val="6"/>
          </w:tcPr>
          <w:p w14:paraId="11B10447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481B9E" w14:paraId="1E96B35C" w14:textId="77777777" w:rsidTr="00481B9E">
        <w:tc>
          <w:tcPr>
            <w:tcW w:w="2337" w:type="dxa"/>
          </w:tcPr>
          <w:p w14:paraId="77AB7BE9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08BD901C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28" w:type="dxa"/>
          </w:tcPr>
          <w:p w14:paraId="6B4E3C64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05" w:type="dxa"/>
          </w:tcPr>
          <w:p w14:paraId="336FA757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5D73745E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31442A18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481B9E" w:rsidRPr="007E69C0" w:rsidRDefault="00481B9E" w:rsidP="00481B9E">
            <w:pPr>
              <w:rPr>
                <w:sz w:val="24"/>
                <w:szCs w:val="24"/>
              </w:rPr>
            </w:pPr>
          </w:p>
          <w:p w14:paraId="34F10D44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</w:t>
            </w:r>
            <w:r w:rsidRPr="007E69C0">
              <w:rPr>
                <w:sz w:val="24"/>
                <w:szCs w:val="24"/>
              </w:rPr>
              <w:lastRenderedPageBreak/>
              <w:t>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481B9E" w14:paraId="508F8D8F" w14:textId="77777777" w:rsidTr="00481B9E">
        <w:tc>
          <w:tcPr>
            <w:tcW w:w="2337" w:type="dxa"/>
          </w:tcPr>
          <w:p w14:paraId="166B991B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481B9E" w:rsidRPr="0021763A" w:rsidRDefault="00481B9E" w:rsidP="00481B9E">
            <w:pPr>
              <w:rPr>
                <w:sz w:val="24"/>
                <w:szCs w:val="24"/>
              </w:rPr>
            </w:pPr>
          </w:p>
          <w:p w14:paraId="69412879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</w:p>
          <w:p w14:paraId="2921EF75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21CA2283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</w:t>
            </w:r>
            <w:r w:rsidRPr="0021763A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684B5685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8" w:type="dxa"/>
          </w:tcPr>
          <w:p w14:paraId="2D431AE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026C3A6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D087DF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0817DF8C" w14:textId="77777777" w:rsidTr="00481B9E">
        <w:tc>
          <w:tcPr>
            <w:tcW w:w="2337" w:type="dxa"/>
          </w:tcPr>
          <w:p w14:paraId="2E36897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28" w:type="dxa"/>
          </w:tcPr>
          <w:p w14:paraId="253103C9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05" w:type="dxa"/>
          </w:tcPr>
          <w:p w14:paraId="646AF3F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761EECB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5154645F" w14:textId="77777777" w:rsidTr="00481B9E">
        <w:tc>
          <w:tcPr>
            <w:tcW w:w="15014" w:type="dxa"/>
            <w:gridSpan w:val="6"/>
          </w:tcPr>
          <w:p w14:paraId="16E7AFEA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481B9E" w14:paraId="783355A0" w14:textId="77777777" w:rsidTr="00481B9E">
        <w:tc>
          <w:tcPr>
            <w:tcW w:w="2337" w:type="dxa"/>
          </w:tcPr>
          <w:p w14:paraId="2D9B6B7A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28" w:type="dxa"/>
          </w:tcPr>
          <w:p w14:paraId="73A5B3E5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05" w:type="dxa"/>
          </w:tcPr>
          <w:p w14:paraId="36F35266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2FACF6C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отправления в электронной форме, а </w:t>
            </w:r>
            <w:r>
              <w:rPr>
                <w:sz w:val="24"/>
                <w:szCs w:val="24"/>
              </w:rPr>
              <w:lastRenderedPageBreak/>
              <w:t>также посредством портала ФИАС);</w:t>
            </w:r>
          </w:p>
          <w:p w14:paraId="0DB91ED7" w14:textId="77777777" w:rsidR="00481B9E" w:rsidRPr="00F41317" w:rsidRDefault="00481B9E" w:rsidP="00481B9E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481B9E" w:rsidRPr="005F6738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481B9E" w:rsidRPr="005F6738" w:rsidRDefault="00481B9E" w:rsidP="00481B9E">
            <w:pPr>
              <w:rPr>
                <w:sz w:val="24"/>
                <w:szCs w:val="24"/>
              </w:rPr>
            </w:pPr>
          </w:p>
          <w:p w14:paraId="73CF711D" w14:textId="77777777" w:rsidR="00481B9E" w:rsidRDefault="00481B9E" w:rsidP="00481B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81B9E" w14:paraId="7448E159" w14:textId="77777777" w:rsidTr="00481B9E">
        <w:tc>
          <w:tcPr>
            <w:tcW w:w="2337" w:type="dxa"/>
          </w:tcPr>
          <w:p w14:paraId="6468D12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28" w:type="dxa"/>
          </w:tcPr>
          <w:p w14:paraId="485C6491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05" w:type="dxa"/>
          </w:tcPr>
          <w:p w14:paraId="1B8AF28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3C88104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p w14:paraId="1D200539" w14:textId="70750B6F" w:rsidR="00481B9E" w:rsidRDefault="00481B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7788F" w14:textId="77777777" w:rsidR="00481B9E" w:rsidRDefault="00481B9E" w:rsidP="00481B9E">
      <w:pPr>
        <w:jc w:val="right"/>
        <w:rPr>
          <w:sz w:val="24"/>
          <w:szCs w:val="24"/>
        </w:rPr>
        <w:sectPr w:rsidR="00481B9E" w:rsidSect="00195379">
          <w:pgSz w:w="16838" w:h="11905" w:orient="landscape"/>
          <w:pgMar w:top="1304" w:right="907" w:bottom="851" w:left="907" w:header="709" w:footer="0" w:gutter="0"/>
          <w:cols w:space="720"/>
          <w:noEndnote/>
          <w:titlePg/>
          <w:docGrid w:linePitch="381"/>
        </w:sectPr>
      </w:pPr>
    </w:p>
    <w:p w14:paraId="55449636" w14:textId="717536E2" w:rsidR="00481B9E" w:rsidRDefault="00481B9E" w:rsidP="00481B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18A1B6DB" w14:textId="534515B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осмотра объекта адресации</w:t>
      </w:r>
    </w:p>
    <w:p w14:paraId="5F22C0A3" w14:textId="6300B69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ОСМОТРА ОБЪЕКТА АДРЕСАЦИИ</w:t>
      </w:r>
    </w:p>
    <w:p w14:paraId="24977F70" w14:textId="77777777" w:rsidR="00481B9E" w:rsidRDefault="00481B9E" w:rsidP="00481B9E">
      <w:pPr>
        <w:jc w:val="center"/>
        <w:rPr>
          <w:sz w:val="24"/>
          <w:szCs w:val="24"/>
        </w:rPr>
      </w:pPr>
    </w:p>
    <w:p w14:paraId="1C5FDC6A" w14:textId="78E43B74" w:rsidR="00481B9E" w:rsidRDefault="00481B9E" w:rsidP="00481B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                  «____» ______20__г.</w:t>
      </w:r>
    </w:p>
    <w:p w14:paraId="0DDA7633" w14:textId="347E159D" w:rsidR="00481B9E" w:rsidRDefault="00481B9E" w:rsidP="00B963CA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городского округа, поселения)                                                                      дата проведения осмотра</w:t>
      </w:r>
    </w:p>
    <w:p w14:paraId="640FE806" w14:textId="77777777" w:rsidR="00481B9E" w:rsidRDefault="00481B9E" w:rsidP="00B963CA">
      <w:pPr>
        <w:rPr>
          <w:sz w:val="20"/>
          <w:szCs w:val="20"/>
        </w:rPr>
      </w:pPr>
    </w:p>
    <w:p w14:paraId="51450CAA" w14:textId="04E4C534" w:rsidR="00481B9E" w:rsidRDefault="00481B9E" w:rsidP="00A517C1">
      <w:pPr>
        <w:ind w:firstLine="709"/>
        <w:jc w:val="both"/>
      </w:pPr>
      <w:r>
        <w:t xml:space="preserve">В </w:t>
      </w:r>
      <w:r w:rsidR="005D4B6E">
        <w:t>соответствии</w:t>
      </w:r>
      <w:r>
        <w:t xml:space="preserve"> с заявлением </w:t>
      </w:r>
      <w:proofErr w:type="gramStart"/>
      <w:r>
        <w:t>от</w:t>
      </w:r>
      <w:proofErr w:type="gramEnd"/>
      <w:r>
        <w:t xml:space="preserve"> ___ № ___ </w:t>
      </w:r>
      <w:proofErr w:type="gramStart"/>
      <w:r>
        <w:t>о</w:t>
      </w:r>
      <w:proofErr w:type="gramEnd"/>
      <w:r>
        <w:t xml:space="preserve"> присвоении адреса (аннулировании адреса) объекту адресации ____________________________________________(</w:t>
      </w:r>
      <w:r w:rsidRPr="00A517C1">
        <w:rPr>
          <w:i/>
          <w:sz w:val="24"/>
          <w:szCs w:val="24"/>
        </w:rPr>
        <w:t xml:space="preserve">указывается </w:t>
      </w:r>
      <w:r w:rsidR="00A517C1" w:rsidRPr="00A517C1">
        <w:rPr>
          <w:i/>
          <w:sz w:val="24"/>
          <w:szCs w:val="24"/>
        </w:rPr>
        <w:t>наименование и адрес места нахождения объекта адресации</w:t>
      </w:r>
      <w:r w:rsidR="00A517C1">
        <w:t>) и поручением ________________________________________________ (</w:t>
      </w:r>
      <w:r w:rsidR="00A517C1" w:rsidRPr="00A517C1">
        <w:rPr>
          <w:i/>
          <w:sz w:val="24"/>
          <w:szCs w:val="24"/>
        </w:rPr>
        <w:t>указывается ФИО и должность должностного лица, принявшего решение о необходимости проведения осмотра объекта адресации</w:t>
      </w:r>
      <w:r w:rsidR="00A517C1">
        <w:t>) с выездом на место в присутствии __________________________________ (</w:t>
      </w:r>
      <w:r w:rsidR="00A517C1" w:rsidRPr="00A517C1">
        <w:rPr>
          <w:i/>
          <w:sz w:val="24"/>
          <w:szCs w:val="24"/>
        </w:rPr>
        <w:t>указывается ФИО заявителя/представителя</w:t>
      </w:r>
      <w:r w:rsidR="00A517C1">
        <w:t>) проведен осмотр объекта адресации_____________________________________.</w:t>
      </w:r>
    </w:p>
    <w:p w14:paraId="554061BF" w14:textId="415302B7" w:rsidR="00A517C1" w:rsidRDefault="00A517C1" w:rsidP="00A517C1">
      <w:pPr>
        <w:ind w:firstLine="709"/>
        <w:jc w:val="both"/>
      </w:pPr>
      <w:r>
        <w:t>По результата</w:t>
      </w:r>
      <w:r w:rsidR="005D4B6E">
        <w:t>м</w:t>
      </w:r>
      <w:r>
        <w:t xml:space="preserve"> установлено наличие (отсутствие) оснований для отказа </w:t>
      </w:r>
      <w:r w:rsidR="005D4B6E">
        <w:t>в присвоении (аннулировании) адреса ____________________________________.</w:t>
      </w:r>
    </w:p>
    <w:p w14:paraId="7770E6CB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p w14:paraId="03FE98E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"___"_________ ____ 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>.</w:t>
      </w:r>
    </w:p>
    <w:p w14:paraId="593B9D12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5914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___________/________________/</w:t>
      </w:r>
    </w:p>
    <w:p w14:paraId="73A26305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14:paraId="37BDB30C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__________/_________________/</w:t>
      </w:r>
    </w:p>
    <w:p w14:paraId="038AB37F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(подпись)     (Ф.И.О.)</w:t>
      </w:r>
    </w:p>
    <w:p w14:paraId="289C01D2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sectPr w:rsidR="005D4B6E" w:rsidRPr="005D4B6E" w:rsidSect="00481B9E">
      <w:pgSz w:w="11905" w:h="16838"/>
      <w:pgMar w:top="907" w:right="1304" w:bottom="907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B172" w14:textId="77777777" w:rsidR="00155308" w:rsidRDefault="00155308" w:rsidP="007753F7">
      <w:pPr>
        <w:spacing w:after="0" w:line="240" w:lineRule="auto"/>
      </w:pPr>
      <w:r>
        <w:separator/>
      </w:r>
    </w:p>
  </w:endnote>
  <w:endnote w:type="continuationSeparator" w:id="0">
    <w:p w14:paraId="336984D7" w14:textId="77777777" w:rsidR="00155308" w:rsidRDefault="0015530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C42A9" w14:textId="77777777" w:rsidR="00155308" w:rsidRDefault="00155308" w:rsidP="007753F7">
      <w:pPr>
        <w:spacing w:after="0" w:line="240" w:lineRule="auto"/>
      </w:pPr>
      <w:r>
        <w:separator/>
      </w:r>
    </w:p>
  </w:footnote>
  <w:footnote w:type="continuationSeparator" w:id="0">
    <w:p w14:paraId="43BD2B0A" w14:textId="77777777" w:rsidR="00155308" w:rsidRDefault="0015530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F14FC7" w:rsidRDefault="00F14F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EE" w:rsidRPr="00B21CEE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F14FC7" w:rsidRDefault="00F14FC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0F80"/>
    <w:rsid w:val="00021700"/>
    <w:rsid w:val="0002209D"/>
    <w:rsid w:val="00024201"/>
    <w:rsid w:val="00025A49"/>
    <w:rsid w:val="00030A7D"/>
    <w:rsid w:val="00030C71"/>
    <w:rsid w:val="00036990"/>
    <w:rsid w:val="00037E37"/>
    <w:rsid w:val="00037EA5"/>
    <w:rsid w:val="00040212"/>
    <w:rsid w:val="00040583"/>
    <w:rsid w:val="00042DE1"/>
    <w:rsid w:val="00047D2D"/>
    <w:rsid w:val="000545C5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A682D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5308"/>
    <w:rsid w:val="001572E8"/>
    <w:rsid w:val="00157F7D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53A3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76A5A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171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0512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26C9B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1B9E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C77F7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4F661B"/>
    <w:rsid w:val="00502DED"/>
    <w:rsid w:val="00502F85"/>
    <w:rsid w:val="0050549D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19A5"/>
    <w:rsid w:val="005D2A21"/>
    <w:rsid w:val="005D4B6E"/>
    <w:rsid w:val="005D5566"/>
    <w:rsid w:val="005D624E"/>
    <w:rsid w:val="005E2369"/>
    <w:rsid w:val="005E36F8"/>
    <w:rsid w:val="005E3B0B"/>
    <w:rsid w:val="005E66D6"/>
    <w:rsid w:val="005F0A62"/>
    <w:rsid w:val="005F66C6"/>
    <w:rsid w:val="00601175"/>
    <w:rsid w:val="00607350"/>
    <w:rsid w:val="006106AA"/>
    <w:rsid w:val="0062435D"/>
    <w:rsid w:val="006247C8"/>
    <w:rsid w:val="00625C5C"/>
    <w:rsid w:val="00626C0B"/>
    <w:rsid w:val="00627481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44FD2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9685C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230D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8F317F"/>
    <w:rsid w:val="00900708"/>
    <w:rsid w:val="0091199D"/>
    <w:rsid w:val="00911B75"/>
    <w:rsid w:val="00916379"/>
    <w:rsid w:val="009165FF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2BBF"/>
    <w:rsid w:val="00A25AD9"/>
    <w:rsid w:val="00A31964"/>
    <w:rsid w:val="00A4363A"/>
    <w:rsid w:val="00A43932"/>
    <w:rsid w:val="00A474B0"/>
    <w:rsid w:val="00A517C1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1CEE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409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04B"/>
    <w:rsid w:val="00C41B15"/>
    <w:rsid w:val="00C4326A"/>
    <w:rsid w:val="00C510F1"/>
    <w:rsid w:val="00C55614"/>
    <w:rsid w:val="00C605F2"/>
    <w:rsid w:val="00C623AA"/>
    <w:rsid w:val="00C66D59"/>
    <w:rsid w:val="00C74D12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1834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20F4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678B9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4FC7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44A38"/>
    <w:rsid w:val="00F52410"/>
    <w:rsid w:val="00F55B87"/>
    <w:rsid w:val="00F568CE"/>
    <w:rsid w:val="00F569EF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1B9D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9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hyperlink" Target="consultantplus://offline/ref=F7D1300E7677E7FA2F2C6E3556BCFE8A22F88EC6FB974B54822598D8F4833C471B0198BB215C67E2CF71C7A28A13887D032537CE80EBBF1DZ7L6F" TargetMode="External"/><Relationship Id="rId40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hyperlink" Target="consultantplus://offline/ref=F7D1300E7677E7FA2F2C6E3556BCFE8A22F88EC6FB974B54822598D8F4833C471B0198BB215C67E3C571C7A28A13887D032537CE80EBBF1DZ7L6F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aevosp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9F6E-BE6F-47F0-83AA-83E50DE1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18163</Words>
  <Characters>103534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nikolskarm</cp:lastModifiedBy>
  <cp:revision>18</cp:revision>
  <cp:lastPrinted>2023-12-22T06:05:00Z</cp:lastPrinted>
  <dcterms:created xsi:type="dcterms:W3CDTF">2023-11-27T09:18:00Z</dcterms:created>
  <dcterms:modified xsi:type="dcterms:W3CDTF">2023-12-22T06:10:00Z</dcterms:modified>
</cp:coreProperties>
</file>