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B0" w:rsidRDefault="00F113B0" w:rsidP="00F113B0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F113B0" w:rsidRDefault="00F113B0" w:rsidP="00F113B0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F113B0" w:rsidRDefault="00F113B0" w:rsidP="00F113B0">
      <w:pPr>
        <w:pStyle w:val="p10"/>
        <w:shd w:val="clear" w:color="auto" w:fill="FFFFFF"/>
        <w:spacing w:before="0" w:beforeAutospacing="0" w:after="0" w:afterAutospacing="0"/>
        <w:contextualSpacing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ПОСТАНОВЛЕНИЕ</w:t>
      </w:r>
    </w:p>
    <w:p w:rsidR="00F113B0" w:rsidRDefault="00F113B0" w:rsidP="00F113B0">
      <w:pPr>
        <w:pStyle w:val="p10"/>
        <w:shd w:val="clear" w:color="auto" w:fill="FFFFFF"/>
        <w:spacing w:before="0" w:beforeAutospacing="0" w:after="0" w:afterAutospacing="0"/>
        <w:contextualSpacing/>
        <w:jc w:val="center"/>
        <w:rPr>
          <w:rStyle w:val="s3"/>
          <w:b/>
          <w:bCs/>
          <w:color w:val="000000"/>
          <w:sz w:val="16"/>
          <w:szCs w:val="16"/>
        </w:rPr>
      </w:pPr>
    </w:p>
    <w:p w:rsidR="00F113B0" w:rsidRDefault="00F113B0" w:rsidP="00F113B0">
      <w:pPr>
        <w:pStyle w:val="p1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26 января  2018 года № </w:t>
      </w:r>
      <w:r>
        <w:rPr>
          <w:b/>
          <w:sz w:val="28"/>
          <w:szCs w:val="28"/>
        </w:rPr>
        <w:t>9</w:t>
      </w:r>
    </w:p>
    <w:p w:rsidR="00D05847" w:rsidRDefault="00D05847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FC3" w:rsidRDefault="00047FC3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 w:rsidR="0036615A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Николаевский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3B0" w:rsidRDefault="00F113B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ипальных услуг», 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B7BD0" w:rsidRPr="005B7BD0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36615A">
        <w:rPr>
          <w:rFonts w:ascii="Times New Roman" w:hAnsi="Times New Roman" w:cs="Times New Roman"/>
          <w:sz w:val="28"/>
          <w:szCs w:val="28"/>
          <w:lang w:eastAsia="ru-RU"/>
        </w:rPr>
        <w:t>Николаевский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помещениях».</w:t>
      </w:r>
    </w:p>
    <w:p w:rsidR="005B7BD0" w:rsidRPr="001C1B5C" w:rsidRDefault="005B7BD0" w:rsidP="001C1B5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proofErr w:type="gramStart"/>
      <w:r w:rsidRPr="001C1B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</w:t>
      </w:r>
      <w:r w:rsidR="0036615A" w:rsidRPr="001C1B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Николаевский</w:t>
      </w:r>
      <w:r w:rsidRPr="001C1B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</w:t>
      </w:r>
      <w:r w:rsidR="001C1B5C" w:rsidRPr="001C1B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Признание гражданина нуждающимся в жилых помещениях</w:t>
      </w:r>
      <w:r w:rsidRPr="001C1B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C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сельского поселения </w:t>
      </w:r>
      <w:r w:rsidR="0036615A" w:rsidRPr="001C1B5C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1C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муниципального района Кармаскалинский район Республики Башкортостан от </w:t>
      </w:r>
      <w:r w:rsidR="00760D40">
        <w:rPr>
          <w:rFonts w:ascii="Times New Roman" w:hAnsi="Times New Roman" w:cs="Times New Roman"/>
          <w:color w:val="000000" w:themeColor="text1"/>
          <w:sz w:val="28"/>
          <w:szCs w:val="28"/>
        </w:rPr>
        <w:t>21.10.2014</w:t>
      </w:r>
      <w:r w:rsidRPr="001C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1C1B5C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1C1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</w:t>
      </w:r>
      <w:r w:rsidR="001C1B5C">
        <w:rPr>
          <w:rFonts w:ascii="Times New Roman" w:hAnsi="Times New Roman" w:cs="Times New Roman"/>
          <w:color w:val="000000" w:themeColor="text1"/>
          <w:sz w:val="28"/>
          <w:szCs w:val="28"/>
        </w:rPr>
        <w:t>ть утратившим силу</w:t>
      </w:r>
      <w:r w:rsidRPr="001C1B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8D09A0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09A0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79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D09A0" w:rsidRPr="008D09A0">
          <w:rPr>
            <w:rStyle w:val="a6"/>
            <w:rFonts w:ascii="Times New Roman" w:hAnsi="Times New Roman" w:cs="Times New Roman"/>
            <w:sz w:val="28"/>
            <w:szCs w:val="28"/>
          </w:rPr>
          <w:t>http://nikolaevosp.ru</w:t>
        </w:r>
      </w:hyperlink>
      <w:r w:rsidRPr="008D09A0">
        <w:rPr>
          <w:rFonts w:ascii="Times New Roman" w:hAnsi="Times New Roman" w:cs="Times New Roman"/>
          <w:sz w:val="28"/>
          <w:szCs w:val="28"/>
        </w:rPr>
        <w:t>.</w:t>
      </w:r>
    </w:p>
    <w:p w:rsidR="00047FC3" w:rsidRDefault="005B7BD0" w:rsidP="00F11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113B0" w:rsidRPr="00F113B0" w:rsidRDefault="00F113B0" w:rsidP="00F113B0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8D09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8D09A0">
        <w:rPr>
          <w:rFonts w:ascii="Times New Roman" w:hAnsi="Times New Roman" w:cs="Times New Roman"/>
          <w:sz w:val="28"/>
          <w:szCs w:val="28"/>
          <w:lang w:eastAsia="ru-RU"/>
        </w:rPr>
        <w:t>Р.Р.Култыгина</w:t>
      </w:r>
      <w:proofErr w:type="spellEnd"/>
    </w:p>
    <w:p w:rsidR="00F113B0" w:rsidRDefault="00F113B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7BD0" w:rsidRPr="00472797" w:rsidRDefault="008D09A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Николаевский</w:t>
      </w:r>
      <w:r w:rsidR="005B7BD0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</w:t>
      </w:r>
      <w:r w:rsidR="002B5CF0">
        <w:rPr>
          <w:rFonts w:ascii="Times New Roman" w:hAnsi="Times New Roman" w:cs="Times New Roman"/>
          <w:b/>
          <w:sz w:val="20"/>
          <w:szCs w:val="20"/>
          <w:lang w:eastAsia="ru-RU"/>
        </w:rPr>
        <w:t>26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="002B5CF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января 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2018 года № </w:t>
      </w:r>
      <w:r w:rsidR="002B5CF0">
        <w:rPr>
          <w:rFonts w:ascii="Times New Roman" w:hAnsi="Times New Roman" w:cs="Times New Roman"/>
          <w:b/>
          <w:sz w:val="20"/>
          <w:szCs w:val="20"/>
          <w:lang w:eastAsia="ru-RU"/>
        </w:rPr>
        <w:t>9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01465" w:rsidRDefault="00501465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8D09A0">
        <w:rPr>
          <w:rFonts w:ascii="Times New Roman" w:hAnsi="Times New Roman" w:cs="Times New Roman"/>
          <w:b/>
          <w:sz w:val="28"/>
          <w:szCs w:val="28"/>
          <w:lang w:eastAsia="ru-RU"/>
        </w:rPr>
        <w:t>Николаевский</w:t>
      </w: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</w:t>
      </w:r>
      <w:bookmarkStart w:id="0" w:name="_GoBack"/>
      <w:bookmarkEnd w:id="0"/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>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D174D4" w:rsidRDefault="005B7BD0" w:rsidP="00D17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4D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174D4" w:rsidRDefault="00D17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D09A0">
        <w:rPr>
          <w:rFonts w:ascii="Times New Roman" w:hAnsi="Times New Roman" w:cs="Times New Roman"/>
          <w:sz w:val="28"/>
          <w:szCs w:val="28"/>
          <w:lang w:eastAsia="ru-RU"/>
        </w:rPr>
        <w:t>Николаевский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в качестве нуждающихся в жилых помещениях.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Круг заявителей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военнослужащие (за исключением участников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подлежащие переселению из закрытых военных городков, а также поселков учреждений с особыми условиями хозяйственной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инвалиды;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5FF9">
        <w:rPr>
          <w:rFonts w:ascii="Times New Roman" w:hAnsi="Times New Roman" w:cs="Times New Roman"/>
          <w:sz w:val="28"/>
          <w:szCs w:val="28"/>
          <w:lang w:eastAsia="ru-RU"/>
        </w:rPr>
        <w:t>Николаевский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1.5 Информация о местонахождении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и графике работы Администрации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A05FF9" w:rsidRDefault="00C818A6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Администрации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F9" w:rsidRPr="00A05FF9">
        <w:rPr>
          <w:rFonts w:ascii="Times New Roman" w:hAnsi="Times New Roman" w:cs="Times New Roman"/>
          <w:sz w:val="28"/>
          <w:szCs w:val="28"/>
        </w:rPr>
        <w:t xml:space="preserve">453026, Республика Башкортостан, </w:t>
      </w:r>
      <w:proofErr w:type="spellStart"/>
      <w:r w:rsidR="00A05FF9" w:rsidRPr="00A05FF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05FF9" w:rsidRPr="00A05FF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05FF9" w:rsidRPr="00A05FF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05FF9" w:rsidRPr="00A05F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05FF9" w:rsidRPr="00A05FF9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="00A05FF9" w:rsidRPr="00A05FF9">
        <w:rPr>
          <w:rFonts w:ascii="Times New Roman" w:hAnsi="Times New Roman" w:cs="Times New Roman"/>
          <w:sz w:val="28"/>
          <w:szCs w:val="28"/>
        </w:rPr>
        <w:t>, ул. Ленина, д. 67а</w:t>
      </w:r>
      <w:r w:rsidR="005B7BD0" w:rsidRPr="00A05F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5FF9" w:rsidRDefault="00A05FF9" w:rsidP="00A05FF9">
      <w:pPr>
        <w:pStyle w:val="ConsPlusNormal"/>
        <w:ind w:firstLine="540"/>
        <w:jc w:val="both"/>
      </w:pPr>
      <w:r>
        <w:t xml:space="preserve">  </w:t>
      </w:r>
      <w:r w:rsidR="005B7BD0" w:rsidRPr="005B7BD0">
        <w:t>Режим работы Администрации</w:t>
      </w:r>
      <w:r>
        <w:t>:</w:t>
      </w:r>
      <w:r w:rsidR="00C818A6">
        <w:t xml:space="preserve"> </w:t>
      </w:r>
      <w:r>
        <w:t>с 08.00 до 17.00 (обеденный перерыв с 12.00 до 14.00). Суббота воскресень</w:t>
      </w:r>
      <w:proofErr w:type="gramStart"/>
      <w:r>
        <w:t>е-</w:t>
      </w:r>
      <w:proofErr w:type="gramEnd"/>
      <w:r>
        <w:t xml:space="preserve"> выходной.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</w:t>
      </w:r>
      <w:r w:rsidR="00A05FF9">
        <w:rPr>
          <w:rFonts w:ascii="Times New Roman" w:hAnsi="Times New Roman" w:cs="Times New Roman"/>
          <w:sz w:val="28"/>
          <w:szCs w:val="28"/>
          <w:lang w:eastAsia="ru-RU"/>
        </w:rPr>
        <w:t>ции в сети Интернет: http://</w:t>
      </w:r>
      <w:r w:rsidR="00A05FF9" w:rsidRPr="00A05F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F9">
        <w:rPr>
          <w:rFonts w:ascii="Times New Roman" w:hAnsi="Times New Roman" w:cs="Times New Roman"/>
          <w:sz w:val="28"/>
          <w:szCs w:val="28"/>
          <w:lang w:eastAsia="ru-RU"/>
        </w:rPr>
        <w:t>www.</w:t>
      </w:r>
      <w:hyperlink r:id="rId7" w:history="1">
        <w:r w:rsidR="00A05FF9" w:rsidRPr="00A05FF9">
          <w:rPr>
            <w:rStyle w:val="a6"/>
            <w:rFonts w:ascii="Times New Roman" w:hAnsi="Times New Roman" w:cs="Times New Roman"/>
            <w:sz w:val="28"/>
            <w:szCs w:val="28"/>
          </w:rPr>
          <w:t>nikolaevosp.ru</w:t>
        </w:r>
      </w:hyperlink>
      <w:r w:rsidRPr="00A05F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947486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портал государственных и муниципальных услуг) (http://www.gosuslugi.ru) в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r w:rsidR="00A05FF9">
        <w:rPr>
          <w:rFonts w:ascii="Times New Roman" w:hAnsi="Times New Roman" w:cs="Times New Roman"/>
          <w:sz w:val="28"/>
        </w:rPr>
        <w:t>Николаевский</w:t>
      </w:r>
      <w:r w:rsidR="00947486" w:rsidRPr="00947486">
        <w:rPr>
          <w:rFonts w:ascii="Times New Roman" w:hAnsi="Times New Roman" w:cs="Times New Roman"/>
          <w:sz w:val="28"/>
        </w:rPr>
        <w:t xml:space="preserve"> сельсовет </w:t>
      </w:r>
      <w:r w:rsidR="00A05FF9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A05FF9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A05FF9">
        <w:rPr>
          <w:rFonts w:ascii="Times New Roman" w:hAnsi="Times New Roman" w:cs="Times New Roman"/>
          <w:sz w:val="28"/>
        </w:rPr>
        <w:t xml:space="preserve"> район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947486" w:rsidRDefault="005B7BD0" w:rsidP="007B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http://pgu.bashkortostan.ru, "Администрация сельского поселения </w:t>
      </w:r>
      <w:r w:rsidR="00F21E19">
        <w:rPr>
          <w:rFonts w:ascii="Times New Roman" w:hAnsi="Times New Roman" w:cs="Times New Roman"/>
          <w:sz w:val="28"/>
        </w:rPr>
        <w:t>Николаевский</w:t>
      </w:r>
      <w:r w:rsidR="00947486" w:rsidRPr="00947486">
        <w:rPr>
          <w:rFonts w:ascii="Times New Roman" w:hAnsi="Times New Roman" w:cs="Times New Roman"/>
          <w:sz w:val="28"/>
        </w:rPr>
        <w:t xml:space="preserve"> сельсовет </w:t>
      </w:r>
      <w:r w:rsidR="00F21E19" w:rsidRPr="00F21E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1E19" w:rsidRPr="00F21E1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21E19" w:rsidRPr="00F21E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21E19">
        <w:rPr>
          <w:rFonts w:ascii="Times New Roman" w:hAnsi="Times New Roman" w:cs="Times New Roman"/>
          <w:sz w:val="28"/>
          <w:szCs w:val="28"/>
          <w:lang w:eastAsia="ru-RU"/>
        </w:rPr>
        <w:t>Николаевский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датой получения обращения является дата его регистрации в Администрации;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79713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97130" w:rsidRDefault="0079713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21E19">
        <w:rPr>
          <w:rFonts w:ascii="Times New Roman" w:hAnsi="Times New Roman" w:cs="Times New Roman"/>
          <w:sz w:val="28"/>
          <w:szCs w:val="28"/>
          <w:lang w:eastAsia="ru-RU"/>
        </w:rPr>
        <w:t>Николаевский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ри предоставлении муниципальной услуги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марта 1998, №13, ст. 1475);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 (Собрание законодательства Российской Федерации, 30 ноября 1998, №48, ст. 5850);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 (Собрание законодательства Российской Федерации, 28 октября 2002, №43, ст. 4188);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 июня 2006 № 378 «Об утверждении перечня тяжелых форм хронических заболеваний,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Ведомости Государственного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Собрания - Курултая, Президента и Правительства Республики Башкортостан, 23 января 2012, №3(369), ст. 150);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>ября 2011, № 22(364), ст. 1742);</w:t>
      </w:r>
    </w:p>
    <w:p w:rsidR="00797130" w:rsidRPr="00F21E19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21E19">
        <w:rPr>
          <w:rFonts w:ascii="Times New Roman" w:hAnsi="Times New Roman" w:cs="Times New Roman"/>
          <w:sz w:val="28"/>
          <w:szCs w:val="28"/>
          <w:lang w:eastAsia="ru-RU"/>
        </w:rPr>
        <w:t>Николаевский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hyperlink r:id="rId8" w:history="1">
        <w:r w:rsidR="00F21E19" w:rsidRPr="00F21E19">
          <w:rPr>
            <w:rStyle w:val="a6"/>
            <w:rFonts w:ascii="Times New Roman" w:hAnsi="Times New Roman" w:cs="Times New Roman"/>
            <w:sz w:val="28"/>
            <w:szCs w:val="28"/>
          </w:rPr>
          <w:t>http://nikolaevosp.ru</w:t>
        </w:r>
      </w:hyperlink>
      <w:r w:rsidR="00D73461" w:rsidRPr="00F21E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797130">
        <w:rPr>
          <w:rFonts w:ascii="Times New Roman" w:hAnsi="Times New Roman" w:cs="Times New Roman"/>
          <w:sz w:val="28"/>
          <w:szCs w:val="28"/>
        </w:rPr>
        <w:t>по установлению порядка признания граждан малоимущими в целях постановки на учет в качестве нуждающихся в жилых помещениях</w:t>
      </w:r>
      <w:proofErr w:type="gramEnd"/>
      <w:r w:rsidRPr="00797130"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21E19">
        <w:rPr>
          <w:rFonts w:ascii="Times New Roman" w:hAnsi="Times New Roman" w:cs="Times New Roman"/>
          <w:sz w:val="28"/>
          <w:szCs w:val="28"/>
          <w:lang w:eastAsia="ru-RU"/>
        </w:rPr>
        <w:t>Николаевский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F21E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21E19" w:rsidRPr="00F21E19">
          <w:rPr>
            <w:rStyle w:val="a6"/>
            <w:rFonts w:ascii="Times New Roman" w:hAnsi="Times New Roman" w:cs="Times New Roman"/>
            <w:sz w:val="28"/>
            <w:szCs w:val="28"/>
          </w:rPr>
          <w:t>http://nikolaevosp.ru</w:t>
        </w:r>
      </w:hyperlink>
      <w:r w:rsidR="00D73461" w:rsidRPr="00F21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2 к Административному регламенту;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суда об усыновлении (удочерении);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мены;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акт о признании жилья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том, что гражданин являлся воспитанником детского дома;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обращения.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5B7BD0" w:rsidRDefault="005B7BD0" w:rsidP="003E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(ИНН);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445EE8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EE8" w:rsidRPr="00445EE8">
        <w:rPr>
          <w:rFonts w:ascii="Times New Roman" w:hAnsi="Times New Roman" w:cs="Times New Roman"/>
          <w:sz w:val="28"/>
          <w:szCs w:val="28"/>
        </w:rPr>
        <w:lastRenderedPageBreak/>
        <w:t>выдача постановления о признании заявителя нуждающимся в жилых помещениях (об отказе в признании нуждающимся в жилых помещениях)</w:t>
      </w:r>
      <w:r w:rsidR="00445E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допускается требовать от заявителя: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445EE8" w:rsidRDefault="00445EE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7BD0" w:rsidRPr="005B7BD0" w:rsidRDefault="00B974B6" w:rsidP="00B97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поступило заявление об отказе от предоставления муниципальной услуги от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Default="00CF4FF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2" w:name="footnote_back_8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услуга предоставляется бесплатно.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автомобильного транспорта заявителей. За пользование стоянкой (парковкой) с заявителей плата не взимается;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режим работы;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обеспечивается допу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ные требования, в том числе учитывающие особенности предоставления государственной услуги в многофункциональных центрах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ответственный специалист готовит и согласовывает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E939D5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E93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календарных дней.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личном кабинете Единого портала государственных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 или Портала государственных и муниципальных услуг Республики Башкортостан.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r w:rsidR="004D0380">
        <w:rPr>
          <w:rFonts w:ascii="Times New Roman" w:hAnsi="Times New Roman" w:cs="Times New Roman"/>
          <w:sz w:val="28"/>
          <w:szCs w:val="28"/>
          <w:lang w:eastAsia="ru-RU"/>
        </w:rPr>
        <w:t>Николаевский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4.2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: непрерывно.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4.4 Плановые проверки осуществляются на основа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нии годовых планов не реже одного раза в год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жалобы заявителей;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нарушения, выявленные в ходе текущего контроля.</w:t>
      </w:r>
    </w:p>
    <w:p w:rsidR="005B7BD0" w:rsidRPr="005B7BD0" w:rsidRDefault="005B7BD0" w:rsidP="00E827E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E827E8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Default="00E827E8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E827E8" w:rsidRDefault="005B7BD0" w:rsidP="00E827E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7E8">
        <w:rPr>
          <w:rFonts w:ascii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Default="00E827E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личную подпись и дату.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5B7BD0" w:rsidRDefault="005B7BD0" w:rsidP="004D0380">
      <w:pPr>
        <w:pStyle w:val="ConsPlusNormal"/>
        <w:ind w:firstLine="540"/>
        <w:jc w:val="both"/>
      </w:pPr>
      <w:r w:rsidRPr="005B7BD0">
        <w:t>Главе</w:t>
      </w:r>
      <w:r w:rsidR="00E827E8">
        <w:t xml:space="preserve"> сельского поселения</w:t>
      </w:r>
      <w:r w:rsidRPr="005B7BD0">
        <w:t xml:space="preserve"> по адресу:</w:t>
      </w:r>
      <w:r w:rsidR="00E827E8">
        <w:t xml:space="preserve"> </w:t>
      </w:r>
      <w:r w:rsidR="004D0380">
        <w:t xml:space="preserve">453026, Республика Башкортостан, </w:t>
      </w:r>
      <w:proofErr w:type="spellStart"/>
      <w:r w:rsidR="004D0380">
        <w:t>Кармаскалинский</w:t>
      </w:r>
      <w:proofErr w:type="spellEnd"/>
      <w:r w:rsidR="004D0380">
        <w:t xml:space="preserve"> район, </w:t>
      </w:r>
      <w:proofErr w:type="spellStart"/>
      <w:r w:rsidR="004D0380">
        <w:t>д</w:t>
      </w:r>
      <w:proofErr w:type="gramStart"/>
      <w:r w:rsidR="004D0380">
        <w:t>.К</w:t>
      </w:r>
      <w:proofErr w:type="gramEnd"/>
      <w:r w:rsidR="004D0380">
        <w:t>онстантиновка</w:t>
      </w:r>
      <w:proofErr w:type="spellEnd"/>
      <w:r w:rsidR="004D0380">
        <w:t>, ул. Ленина, д. 67а.</w:t>
      </w:r>
      <w:r w:rsidR="00E827E8">
        <w:t xml:space="preserve"> 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5.9 Сроки рассмотрения жалобы (претензии):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рассмотрение орган и заявитель в письменной форме информируется о перенаправлении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5.10 Результат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5.12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456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445629">
        <w:rPr>
          <w:rFonts w:ascii="Times New Roman" w:hAnsi="Times New Roman" w:cs="Times New Roman"/>
          <w:sz w:val="28"/>
          <w:szCs w:val="28"/>
          <w:lang w:eastAsia="ru-RU"/>
        </w:rPr>
        <w:t>А.Е.Иванова</w:t>
      </w:r>
      <w:proofErr w:type="spellEnd"/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45629" w:rsidRDefault="005B7BD0" w:rsidP="00E827E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Приложение №1</w:t>
      </w:r>
    </w:p>
    <w:p w:rsidR="005B7BD0" w:rsidRPr="00445629" w:rsidRDefault="005B7BD0" w:rsidP="00E827E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к Административному регламенту</w:t>
      </w:r>
    </w:p>
    <w:p w:rsidR="009A247E" w:rsidRPr="00445629" w:rsidRDefault="005B7BD0" w:rsidP="00E827E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предоставления муниципальной услуги</w:t>
      </w:r>
      <w:r w:rsidR="009A247E" w:rsidRPr="00445629">
        <w:rPr>
          <w:rFonts w:ascii="Times New Roman" w:hAnsi="Times New Roman" w:cs="Times New Roman"/>
          <w:b/>
          <w:lang w:eastAsia="ru-RU"/>
        </w:rPr>
        <w:t xml:space="preserve"> </w:t>
      </w:r>
    </w:p>
    <w:p w:rsidR="009A247E" w:rsidRPr="00445629" w:rsidRDefault="005B7BD0" w:rsidP="00E827E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Администрацией</w:t>
      </w:r>
      <w:r w:rsidR="009A247E" w:rsidRPr="00445629">
        <w:rPr>
          <w:rFonts w:ascii="Times New Roman" w:hAnsi="Times New Roman" w:cs="Times New Roman"/>
          <w:b/>
          <w:lang w:eastAsia="ru-RU"/>
        </w:rPr>
        <w:t xml:space="preserve"> </w:t>
      </w:r>
      <w:r w:rsidR="00E827E8" w:rsidRPr="00445629">
        <w:rPr>
          <w:rFonts w:ascii="Times New Roman" w:hAnsi="Times New Roman" w:cs="Times New Roman"/>
          <w:b/>
          <w:lang w:eastAsia="ru-RU"/>
        </w:rPr>
        <w:t xml:space="preserve">сельского </w:t>
      </w:r>
      <w:r w:rsidR="009A247E" w:rsidRPr="00445629">
        <w:rPr>
          <w:rFonts w:ascii="Times New Roman" w:hAnsi="Times New Roman" w:cs="Times New Roman"/>
          <w:b/>
          <w:lang w:eastAsia="ru-RU"/>
        </w:rPr>
        <w:t>по</w:t>
      </w:r>
      <w:r w:rsidR="00E827E8" w:rsidRPr="00445629">
        <w:rPr>
          <w:rFonts w:ascii="Times New Roman" w:hAnsi="Times New Roman" w:cs="Times New Roman"/>
          <w:b/>
          <w:lang w:eastAsia="ru-RU"/>
        </w:rPr>
        <w:t xml:space="preserve">селения </w:t>
      </w:r>
      <w:proofErr w:type="gramStart"/>
      <w:r w:rsidR="00445629">
        <w:rPr>
          <w:rFonts w:ascii="Times New Roman" w:hAnsi="Times New Roman" w:cs="Times New Roman"/>
          <w:b/>
          <w:lang w:eastAsia="ru-RU"/>
        </w:rPr>
        <w:t>Николаевский</w:t>
      </w:r>
      <w:proofErr w:type="gramEnd"/>
      <w:r w:rsidR="00E827E8" w:rsidRPr="00445629">
        <w:rPr>
          <w:rFonts w:ascii="Times New Roman" w:hAnsi="Times New Roman" w:cs="Times New Roman"/>
          <w:b/>
          <w:lang w:eastAsia="ru-RU"/>
        </w:rPr>
        <w:t xml:space="preserve"> </w:t>
      </w:r>
    </w:p>
    <w:p w:rsidR="009A247E" w:rsidRPr="00445629" w:rsidRDefault="00E827E8" w:rsidP="00E827E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сельсовет муниципального района Кармаскалинский район</w:t>
      </w:r>
      <w:r w:rsidR="009A247E" w:rsidRPr="00445629">
        <w:rPr>
          <w:rFonts w:ascii="Times New Roman" w:hAnsi="Times New Roman" w:cs="Times New Roman"/>
          <w:b/>
          <w:lang w:eastAsia="ru-RU"/>
        </w:rPr>
        <w:t xml:space="preserve"> </w:t>
      </w:r>
      <w:r w:rsidRPr="00445629">
        <w:rPr>
          <w:rFonts w:ascii="Times New Roman" w:hAnsi="Times New Roman" w:cs="Times New Roman"/>
          <w:b/>
          <w:lang w:eastAsia="ru-RU"/>
        </w:rPr>
        <w:t xml:space="preserve"> </w:t>
      </w:r>
    </w:p>
    <w:p w:rsidR="005B7BD0" w:rsidRPr="00445629" w:rsidRDefault="00E827E8" w:rsidP="00E827E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lastRenderedPageBreak/>
        <w:t>Республики</w:t>
      </w:r>
      <w:r w:rsidR="009A247E" w:rsidRPr="00445629">
        <w:rPr>
          <w:rFonts w:ascii="Times New Roman" w:hAnsi="Times New Roman" w:cs="Times New Roman"/>
          <w:b/>
          <w:lang w:eastAsia="ru-RU"/>
        </w:rPr>
        <w:t xml:space="preserve"> </w:t>
      </w:r>
      <w:r w:rsidRPr="00445629">
        <w:rPr>
          <w:rFonts w:ascii="Times New Roman" w:hAnsi="Times New Roman" w:cs="Times New Roman"/>
          <w:b/>
          <w:lang w:eastAsia="ru-RU"/>
        </w:rPr>
        <w:t xml:space="preserve">Башкортостан </w:t>
      </w:r>
      <w:r w:rsidR="005B7BD0" w:rsidRPr="00445629">
        <w:rPr>
          <w:rFonts w:ascii="Times New Roman" w:hAnsi="Times New Roman" w:cs="Times New Roman"/>
          <w:b/>
          <w:lang w:eastAsia="ru-RU"/>
        </w:rPr>
        <w:t>«Принятие на учет граждан в качестве нуждающихся в жилых помещениях»</w:t>
      </w:r>
    </w:p>
    <w:p w:rsidR="009A247E" w:rsidRDefault="009A247E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A247E" w:rsidRDefault="005B7BD0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2782"/>
        <w:gridCol w:w="3186"/>
      </w:tblGrid>
      <w:tr w:rsidR="005B7BD0" w:rsidRPr="009A247E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филиала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 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Вторник, четверг, 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Аскарово,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Коммунистическая,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Зилаирский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Бикбая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Инорс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450039,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Благовещенск,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Красноусольский,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«Дема»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450095,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Биишево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452860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452170,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450022,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Губайдуллина,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14.00-22.00;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10.00-20.00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450105,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М. Рыльского,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08.00-20.00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Бессонова,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Российская,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7BD0" w:rsidRDefault="009A247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5629" w:rsidRDefault="00445629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5629" w:rsidRDefault="00445629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5CF0" w:rsidRDefault="002B5CF0" w:rsidP="009A247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A247E" w:rsidRPr="00445629" w:rsidRDefault="009A247E" w:rsidP="009A247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Приложение № 2</w:t>
      </w:r>
    </w:p>
    <w:p w:rsidR="009A247E" w:rsidRPr="00445629" w:rsidRDefault="009A247E" w:rsidP="009A247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к Административному регламенту</w:t>
      </w:r>
    </w:p>
    <w:p w:rsidR="009A247E" w:rsidRPr="00445629" w:rsidRDefault="009A247E" w:rsidP="009A247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предоставления муниципальной услуги </w:t>
      </w:r>
    </w:p>
    <w:p w:rsidR="009A247E" w:rsidRPr="00445629" w:rsidRDefault="009A247E" w:rsidP="009A247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Администрацией сельского поселения </w:t>
      </w:r>
      <w:proofErr w:type="gramStart"/>
      <w:r w:rsidR="00445629" w:rsidRPr="00445629">
        <w:rPr>
          <w:rFonts w:ascii="Times New Roman" w:hAnsi="Times New Roman" w:cs="Times New Roman"/>
          <w:b/>
          <w:lang w:eastAsia="ru-RU"/>
        </w:rPr>
        <w:t>Николаевский</w:t>
      </w:r>
      <w:proofErr w:type="gramEnd"/>
      <w:r w:rsidRPr="00445629">
        <w:rPr>
          <w:rFonts w:ascii="Times New Roman" w:hAnsi="Times New Roman" w:cs="Times New Roman"/>
          <w:b/>
          <w:lang w:eastAsia="ru-RU"/>
        </w:rPr>
        <w:t xml:space="preserve"> </w:t>
      </w:r>
    </w:p>
    <w:p w:rsidR="009A247E" w:rsidRPr="00445629" w:rsidRDefault="009A247E" w:rsidP="009A247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Кармаскалинский район  </w:t>
      </w:r>
    </w:p>
    <w:p w:rsidR="00445629" w:rsidRDefault="009A247E" w:rsidP="009A247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Республики Башкортостан «Принятие на учет граждан в качестве нуждающихся </w:t>
      </w:r>
    </w:p>
    <w:p w:rsidR="009A247E" w:rsidRPr="00445629" w:rsidRDefault="009A247E" w:rsidP="009A247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в жилых помещениях»</w:t>
      </w:r>
    </w:p>
    <w:p w:rsidR="009A247E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7BD0" w:rsidRPr="005B7BD0" w:rsidRDefault="00910C6A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 сельсовет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0C6A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(указать причины отсутствия жилой площади или необходимости ее замены,</w:t>
      </w:r>
      <w:r w:rsidR="00910C6A" w:rsidRPr="00910C6A">
        <w:rPr>
          <w:rFonts w:ascii="Times New Roman" w:hAnsi="Times New Roman" w:cs="Times New Roman"/>
          <w:sz w:val="20"/>
          <w:szCs w:val="20"/>
          <w:lang w:eastAsia="ru-RU"/>
        </w:rPr>
        <w:t xml:space="preserve"> дать краткую характеристику занимаемого жилья)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прошу Вас рассмотреть вопрос о постановке меня - гражданина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 _________________________________________________________________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____________________ паспорт: серия __________ №________________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выданный _______________________________________ "_____" __________________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10C6A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подтверждающего право гражданина</w:t>
      </w:r>
      <w:proofErr w:type="gramEnd"/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на льготное обеспечение жильем)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серия ____________ № 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выданное _______________ "_____" 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 членов моей семьи - граждан Российской Федерации на учет в качестве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категории 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C6A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5B7BD0" w:rsidRDefault="005B7BD0" w:rsidP="00910C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Состав семьи _________________ человек: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 "______" 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паспорт: сери</w:t>
      </w:r>
      <w:r w:rsidR="002B5CF0">
        <w:rPr>
          <w:rFonts w:ascii="Times New Roman" w:hAnsi="Times New Roman" w:cs="Times New Roman"/>
          <w:sz w:val="28"/>
          <w:szCs w:val="28"/>
          <w:lang w:eastAsia="ru-RU"/>
        </w:rPr>
        <w:t>я __________ № 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выданный 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"_______" ____________________г., проживает по адресу: 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910C6A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___________________________________"____" _____________г.,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2)_________________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_______________________"____" 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Кроме того, в состав моей семьи также включены граждане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Федерации:_________________________________ "_</w:t>
      </w:r>
      <w:r w:rsidR="002B5CF0">
        <w:rPr>
          <w:rFonts w:ascii="Times New Roman" w:hAnsi="Times New Roman" w:cs="Times New Roman"/>
          <w:sz w:val="28"/>
          <w:szCs w:val="28"/>
          <w:lang w:eastAsia="ru-RU"/>
        </w:rPr>
        <w:t>_____" 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(родственный статус, основание признания членом семьи)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</w:t>
      </w:r>
      <w:r w:rsidR="002B5CF0">
        <w:rPr>
          <w:rFonts w:ascii="Times New Roman" w:hAnsi="Times New Roman" w:cs="Times New Roman"/>
          <w:sz w:val="28"/>
          <w:szCs w:val="28"/>
          <w:lang w:eastAsia="ru-RU"/>
        </w:rPr>
        <w:t>ждении): серия 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</w:t>
      </w:r>
      <w:r w:rsidR="002B5CF0">
        <w:rPr>
          <w:rFonts w:ascii="Times New Roman" w:hAnsi="Times New Roman" w:cs="Times New Roman"/>
          <w:sz w:val="28"/>
          <w:szCs w:val="28"/>
          <w:lang w:eastAsia="ru-RU"/>
        </w:rPr>
        <w:t>_____" 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</w:t>
      </w:r>
      <w:r w:rsidR="002B5CF0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настоящее время я и члены моей семьи жилых помещений для постоянного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(собственности, найма, поднайма)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(лично, по почте)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______________201____г.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заявителя/представителя) (подпись)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5629">
        <w:rPr>
          <w:rFonts w:ascii="Times New Roman" w:hAnsi="Times New Roman" w:cs="Times New Roman"/>
          <w:b/>
          <w:lang w:eastAsia="ru-RU"/>
        </w:rPr>
        <w:t>Приложение №3</w:t>
      </w: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к Административному регламенту</w:t>
      </w: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предоставления муниципальной услуги </w:t>
      </w: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Администрацией сельского поселения </w:t>
      </w:r>
      <w:proofErr w:type="gramStart"/>
      <w:r w:rsidR="00445629">
        <w:rPr>
          <w:rFonts w:ascii="Times New Roman" w:hAnsi="Times New Roman" w:cs="Times New Roman"/>
          <w:b/>
          <w:lang w:eastAsia="ru-RU"/>
        </w:rPr>
        <w:t>Николаевский</w:t>
      </w:r>
      <w:proofErr w:type="gramEnd"/>
      <w:r w:rsidRPr="00445629">
        <w:rPr>
          <w:rFonts w:ascii="Times New Roman" w:hAnsi="Times New Roman" w:cs="Times New Roman"/>
          <w:b/>
          <w:lang w:eastAsia="ru-RU"/>
        </w:rPr>
        <w:t xml:space="preserve"> </w:t>
      </w: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Кармаскалинский район  </w:t>
      </w: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445629" w:rsidRDefault="005B7BD0" w:rsidP="005B7BD0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B7BD0" w:rsidRPr="005B7BD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5B7BD0" w:rsidRPr="005B7BD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 сельсовет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Я,_____________________________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которое дает согласие)</w:t>
      </w:r>
    </w:p>
    <w:p w:rsidR="005B7BD0" w:rsidRPr="005B7BD0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_____ сельсовет муниципального района Кармаскалинский район Республики Башкортостан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адрес___________________________, на обработку персональных данных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на которое дается согласие)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_________201_г.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(Ф.И.О.) (подпись)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Приложение № 4</w:t>
      </w: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к Административному регламенту</w:t>
      </w: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предоставления муниципальной услуги </w:t>
      </w: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Администрацией сельского поселения </w:t>
      </w:r>
      <w:proofErr w:type="gramStart"/>
      <w:r w:rsidR="00445629" w:rsidRPr="00445629">
        <w:rPr>
          <w:rFonts w:ascii="Times New Roman" w:hAnsi="Times New Roman" w:cs="Times New Roman"/>
          <w:b/>
          <w:lang w:eastAsia="ru-RU"/>
        </w:rPr>
        <w:t>Николаевский</w:t>
      </w:r>
      <w:proofErr w:type="gramEnd"/>
      <w:r w:rsidRPr="00445629">
        <w:rPr>
          <w:rFonts w:ascii="Times New Roman" w:hAnsi="Times New Roman" w:cs="Times New Roman"/>
          <w:b/>
          <w:lang w:eastAsia="ru-RU"/>
        </w:rPr>
        <w:t xml:space="preserve"> </w:t>
      </w: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Кармаскалинский район  </w:t>
      </w:r>
    </w:p>
    <w:p w:rsid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Республики Башкортостан «Принятие на учет граждан в качестве </w:t>
      </w:r>
    </w:p>
    <w:p w:rsidR="00910C6A" w:rsidRPr="00445629" w:rsidRDefault="00910C6A" w:rsidP="00910C6A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gramStart"/>
      <w:r w:rsidRPr="00445629">
        <w:rPr>
          <w:rFonts w:ascii="Times New Roman" w:hAnsi="Times New Roman" w:cs="Times New Roman"/>
          <w:b/>
          <w:lang w:eastAsia="ru-RU"/>
        </w:rPr>
        <w:t>нуждающихся в жилых помещениях»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623C" wp14:editId="05777E6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350" r="508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D40" w:rsidRPr="003659B3" w:rsidRDefault="00760D40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760D40" w:rsidRPr="003659B3" w:rsidRDefault="00760D40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437F5FA" wp14:editId="01E44E24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67825" wp14:editId="5D8BFEB4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6985" r="10160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D40" w:rsidRPr="00FF1967" w:rsidRDefault="00760D40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760D40" w:rsidRPr="00FF1967" w:rsidRDefault="00760D40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7395F" wp14:editId="3620E6A0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5715" r="6159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C5E4B" wp14:editId="51FA38BD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F8E2B" wp14:editId="77DDC37C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40" w:rsidRPr="00D92C92" w:rsidRDefault="00760D40" w:rsidP="00910C6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760D40" w:rsidRPr="00D92C92" w:rsidRDefault="00760D40" w:rsidP="00910C6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17146" wp14:editId="79833C4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5715" r="1397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910C6A" w:rsidRPr="007058E7" w:rsidRDefault="00360B98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56A8A" wp14:editId="53450001">
                <wp:simplePos x="0" y="0"/>
                <wp:positionH relativeFrom="column">
                  <wp:posOffset>3879571</wp:posOffset>
                </wp:positionH>
                <wp:positionV relativeFrom="paragraph">
                  <wp:posOffset>253162</wp:posOffset>
                </wp:positionV>
                <wp:extent cx="2249169" cy="1097914"/>
                <wp:effectExtent l="0" t="0" r="18415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69" cy="109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40" w:rsidRDefault="00760D40" w:rsidP="00910C6A">
                            <w:pPr>
                              <w:jc w:val="center"/>
                            </w:pPr>
                          </w:p>
                          <w:p w:rsidR="00760D40" w:rsidRPr="00D92C92" w:rsidRDefault="00760D40" w:rsidP="00910C6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05.5pt;margin-top:19.95pt;width:177.1pt;height:8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" strokecolor="#4f81bd">
                <v:textbox>
                  <w:txbxContent>
                    <w:p w:rsidR="00760D40" w:rsidRDefault="00760D40" w:rsidP="00910C6A">
                      <w:pPr>
                        <w:jc w:val="center"/>
                      </w:pPr>
                    </w:p>
                    <w:p w:rsidR="00760D40" w:rsidRPr="00D92C92" w:rsidRDefault="00760D40" w:rsidP="00910C6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3CCAB" wp14:editId="018FAEFE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40" w:rsidRPr="00D92C92" w:rsidRDefault="00760D40" w:rsidP="00910C6A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760D40" w:rsidRPr="00D92C92" w:rsidRDefault="00760D40" w:rsidP="00910C6A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8E4D9" wp14:editId="21B01082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608A0" wp14:editId="1D35DBD0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5715" r="55245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3E6D71" wp14:editId="13F94858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3335" r="889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40" w:rsidRPr="00FF51FC" w:rsidRDefault="00760D40" w:rsidP="00910C6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760D40" w:rsidRPr="00FF51FC" w:rsidRDefault="00760D40" w:rsidP="00910C6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90599" wp14:editId="3B38B02D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7620" r="15875" b="5270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B6FEA" wp14:editId="7F911502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13970" r="5524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FE5FC" wp14:editId="5786E2EA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13970" r="1270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40" w:rsidRDefault="00760D40" w:rsidP="00910C6A">
                            <w:pPr>
                              <w:jc w:val="center"/>
                            </w:pPr>
                          </w:p>
                          <w:p w:rsidR="00760D40" w:rsidRPr="00D92C92" w:rsidRDefault="00760D40" w:rsidP="00910C6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760D40" w:rsidRDefault="00760D40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760D40" w:rsidRDefault="00760D40" w:rsidP="00910C6A">
                      <w:pPr>
                        <w:jc w:val="center"/>
                      </w:pPr>
                    </w:p>
                    <w:p w:rsidR="00760D40" w:rsidRPr="00D92C92" w:rsidRDefault="00760D40" w:rsidP="00910C6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760D40" w:rsidRDefault="00760D40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C1A46" wp14:editId="0748E585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13970" r="1143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40" w:rsidRPr="00D92C92" w:rsidRDefault="00760D40" w:rsidP="00910C6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760D40" w:rsidRDefault="00760D40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760D40" w:rsidRPr="00D92C92" w:rsidRDefault="00760D40" w:rsidP="00910C6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760D40" w:rsidRDefault="00760D40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9DCFC" wp14:editId="33BF75D5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526539" cy="840739"/>
                <wp:effectExtent l="0" t="0" r="1714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39" cy="840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40" w:rsidRDefault="00760D40" w:rsidP="00910C6A">
                            <w:pPr>
                              <w:jc w:val="center"/>
                            </w:pPr>
                          </w:p>
                          <w:p w:rsidR="00760D40" w:rsidRPr="00D92C92" w:rsidRDefault="00760D40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760D40" w:rsidRPr="00D92C92" w:rsidRDefault="00760D40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20.2pt;height: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" strokecolor="#4f81bd">
                <v:textbox>
                  <w:txbxContent>
                    <w:p w:rsidR="00760D40" w:rsidRDefault="00760D40" w:rsidP="00910C6A">
                      <w:pPr>
                        <w:jc w:val="center"/>
                      </w:pPr>
                    </w:p>
                    <w:p w:rsidR="00760D40" w:rsidRPr="00D92C92" w:rsidRDefault="00760D40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760D40" w:rsidRPr="00D92C92" w:rsidRDefault="00760D40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82E64" wp14:editId="61B88D24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3970" r="19050" b="5397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B7D9E" wp14:editId="53DEBA37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12065" r="1270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40" w:rsidRPr="00D92C92" w:rsidRDefault="00760D40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760D40" w:rsidRPr="00D92C92" w:rsidRDefault="00760D40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760D40" w:rsidRPr="00D92C92" w:rsidRDefault="00760D40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760D40" w:rsidRPr="00D92C92" w:rsidRDefault="00760D40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AA314" wp14:editId="216F083D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3970" r="5524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BDB0F" wp14:editId="652FB28D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8255" r="5334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1BED6" wp14:editId="7C62FBFE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13970" r="6159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A40D2" wp14:editId="1345BABE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1333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40" w:rsidRDefault="00760D40" w:rsidP="00910C6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760D40" w:rsidRPr="00D92C92" w:rsidRDefault="00760D40" w:rsidP="00910C6A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760D40" w:rsidRDefault="00760D40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760D40" w:rsidRDefault="00760D40" w:rsidP="00910C6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760D40" w:rsidRPr="00D92C92" w:rsidRDefault="00760D40" w:rsidP="00910C6A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760D40" w:rsidRDefault="00760D40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9C7A3" wp14:editId="790CB664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616709" cy="876934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09" cy="876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40" w:rsidRPr="00D92C92" w:rsidRDefault="00760D40" w:rsidP="00910C6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27.3pt;height:6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" strokecolor="#4f81bd">
                <v:textbox>
                  <w:txbxContent>
                    <w:p w:rsidR="00760D40" w:rsidRPr="00D92C92" w:rsidRDefault="00760D40" w:rsidP="00910C6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DC7C64" w:rsidRDefault="00910C6A" w:rsidP="00910C6A">
      <w:pPr>
        <w:widowControl w:val="0"/>
        <w:tabs>
          <w:tab w:val="left" w:pos="567"/>
        </w:tabs>
        <w:ind w:firstLine="709"/>
        <w:contextualSpacing/>
        <w:jc w:val="both"/>
      </w:pPr>
    </w:p>
    <w:p w:rsidR="00910C6A" w:rsidRPr="00DC7C64" w:rsidRDefault="00910C6A" w:rsidP="00910C6A">
      <w:pPr>
        <w:ind w:firstLine="709"/>
        <w:jc w:val="both"/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F0" w:rsidRDefault="002B5CF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B5C" w:rsidRDefault="001C1B5C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Pr="00445629" w:rsidRDefault="008F1EAE" w:rsidP="008F1EA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Приложение № 5</w:t>
      </w:r>
    </w:p>
    <w:p w:rsidR="008F1EAE" w:rsidRPr="00445629" w:rsidRDefault="008F1EAE" w:rsidP="008F1EA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к Административному регламенту</w:t>
      </w:r>
    </w:p>
    <w:p w:rsidR="008F1EAE" w:rsidRPr="00445629" w:rsidRDefault="008F1EAE" w:rsidP="008F1EA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предоставления муниципальной услуги </w:t>
      </w:r>
    </w:p>
    <w:p w:rsidR="008F1EAE" w:rsidRPr="00445629" w:rsidRDefault="008F1EAE" w:rsidP="008F1EA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Администрацией сельского поселения </w:t>
      </w:r>
      <w:proofErr w:type="gramStart"/>
      <w:r w:rsidR="00445629" w:rsidRPr="00445629">
        <w:rPr>
          <w:rFonts w:ascii="Times New Roman" w:hAnsi="Times New Roman" w:cs="Times New Roman"/>
          <w:b/>
          <w:lang w:eastAsia="ru-RU"/>
        </w:rPr>
        <w:t>Николаевский</w:t>
      </w:r>
      <w:proofErr w:type="gramEnd"/>
      <w:r w:rsidRPr="00445629">
        <w:rPr>
          <w:rFonts w:ascii="Times New Roman" w:hAnsi="Times New Roman" w:cs="Times New Roman"/>
          <w:b/>
          <w:lang w:eastAsia="ru-RU"/>
        </w:rPr>
        <w:t xml:space="preserve"> </w:t>
      </w:r>
    </w:p>
    <w:p w:rsidR="008F1EAE" w:rsidRPr="00445629" w:rsidRDefault="008F1EAE" w:rsidP="008F1EA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Кармаскалинский район  </w:t>
      </w:r>
    </w:p>
    <w:p w:rsidR="008F1EAE" w:rsidRPr="00445629" w:rsidRDefault="008F1EAE" w:rsidP="008F1EA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445629">
        <w:rPr>
          <w:rFonts w:ascii="Times New Roman" w:hAnsi="Times New Roman" w:cs="Times New Roman"/>
          <w:b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5B7BD0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45629">
        <w:rPr>
          <w:rFonts w:ascii="Times New Roman" w:hAnsi="Times New Roman" w:cs="Times New Roman"/>
          <w:b/>
          <w:sz w:val="28"/>
          <w:szCs w:val="28"/>
          <w:lang w:eastAsia="ru-RU"/>
        </w:rPr>
        <w:t>Николаевский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</w:p>
    <w:p w:rsidR="005B7BD0" w:rsidRPr="008F1EAE" w:rsidRDefault="008F1EAE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="005B7BD0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5B7BD0" w:rsidRPr="005B7BD0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B7BD0" w:rsidRPr="005B7BD0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сда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-а), а специалист </w:t>
      </w:r>
      <w:bookmarkStart w:id="3" w:name="OLE_LINK29"/>
      <w:bookmarkStart w:id="4" w:name="OLE_LINK30"/>
      <w:bookmarkEnd w:id="3"/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________________________________, </w:t>
      </w:r>
      <w:bookmarkEnd w:id="4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5B7BD0" w:rsidRPr="005B7BD0" w:rsidTr="005B7BD0">
        <w:tc>
          <w:tcPr>
            <w:tcW w:w="936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5B7BD0" w:rsidTr="005B7BD0">
        <w:tc>
          <w:tcPr>
            <w:tcW w:w="7296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Ориентировочная дата выдачи 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итоговог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выдачи: _______________________________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7BD0" w:rsidRPr="005B7BD0" w:rsidRDefault="008F1EA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A6E" w:rsidRPr="005B7BD0" w:rsidRDefault="002F6A6E" w:rsidP="005B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6A6E" w:rsidRPr="005B7BD0" w:rsidSect="00F113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4"/>
    <w:rsid w:val="00047FC3"/>
    <w:rsid w:val="001C1B5C"/>
    <w:rsid w:val="00275814"/>
    <w:rsid w:val="002B5CF0"/>
    <w:rsid w:val="002F6A6E"/>
    <w:rsid w:val="00360B98"/>
    <w:rsid w:val="0036615A"/>
    <w:rsid w:val="003E217F"/>
    <w:rsid w:val="00445629"/>
    <w:rsid w:val="00445EE8"/>
    <w:rsid w:val="004D0380"/>
    <w:rsid w:val="00501465"/>
    <w:rsid w:val="005B7BD0"/>
    <w:rsid w:val="005D20DD"/>
    <w:rsid w:val="00652D31"/>
    <w:rsid w:val="00760D40"/>
    <w:rsid w:val="00797130"/>
    <w:rsid w:val="007B0842"/>
    <w:rsid w:val="008D09A0"/>
    <w:rsid w:val="008F1EAE"/>
    <w:rsid w:val="00910C6A"/>
    <w:rsid w:val="00947486"/>
    <w:rsid w:val="009A247E"/>
    <w:rsid w:val="00A05FF9"/>
    <w:rsid w:val="00A7107C"/>
    <w:rsid w:val="00B974B6"/>
    <w:rsid w:val="00C818A6"/>
    <w:rsid w:val="00CD5F55"/>
    <w:rsid w:val="00CF4FF8"/>
    <w:rsid w:val="00D05847"/>
    <w:rsid w:val="00D174D4"/>
    <w:rsid w:val="00D73461"/>
    <w:rsid w:val="00DF09C0"/>
    <w:rsid w:val="00E827E8"/>
    <w:rsid w:val="00E939D5"/>
    <w:rsid w:val="00F113B0"/>
    <w:rsid w:val="00F21E19"/>
    <w:rsid w:val="00F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8D09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FC3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uiPriority w:val="99"/>
    <w:rsid w:val="00F113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113B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8D09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FC3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uiPriority w:val="99"/>
    <w:rsid w:val="00F113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113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o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ikolaevo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ikolaevos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kolaevo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BB6B-504C-4B30-A82C-850D084E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45</Pages>
  <Words>13912</Words>
  <Characters>79305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nikolass1</cp:lastModifiedBy>
  <cp:revision>20</cp:revision>
  <cp:lastPrinted>2018-03-21T11:23:00Z</cp:lastPrinted>
  <dcterms:created xsi:type="dcterms:W3CDTF">2018-01-12T06:46:00Z</dcterms:created>
  <dcterms:modified xsi:type="dcterms:W3CDTF">2018-03-21T11:29:00Z</dcterms:modified>
</cp:coreProperties>
</file>